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95" w:rsidRPr="003F5E6B" w:rsidRDefault="00A40895" w:rsidP="00590463">
      <w:pPr>
        <w:pStyle w:val="Heading3"/>
        <w:numPr>
          <w:ilvl w:val="2"/>
          <w:numId w:val="68"/>
        </w:numPr>
      </w:pPr>
      <w:r w:rsidRPr="003F5E6B">
        <w:t>Smithfield local plan code</w:t>
      </w:r>
    </w:p>
    <w:p w:rsidR="00A40895" w:rsidRPr="005A77FA" w:rsidRDefault="00A40895" w:rsidP="00A40895">
      <w:pPr>
        <w:pStyle w:val="Heading4"/>
        <w:ind w:left="851"/>
      </w:pPr>
      <w:r w:rsidRPr="005A77FA">
        <w:t>Application</w:t>
      </w:r>
    </w:p>
    <w:p w:rsidR="00A40895" w:rsidRPr="00453CC2" w:rsidRDefault="00A40895" w:rsidP="00A40895">
      <w:pPr>
        <w:rPr>
          <w:rFonts w:cs="Arial"/>
          <w:szCs w:val="20"/>
        </w:rPr>
      </w:pPr>
      <w:r w:rsidRPr="00453CC2">
        <w:rPr>
          <w:rFonts w:cs="Arial"/>
          <w:szCs w:val="20"/>
        </w:rPr>
        <w:t xml:space="preserve">This code applies to assessing </w:t>
      </w:r>
      <w:r w:rsidR="00277B5C">
        <w:rPr>
          <w:rFonts w:cs="Arial"/>
          <w:szCs w:val="20"/>
        </w:rPr>
        <w:t xml:space="preserve">development within the Smithfield local plan area as </w:t>
      </w:r>
      <w:r w:rsidR="004E52AD">
        <w:rPr>
          <w:rFonts w:cs="Arial"/>
          <w:szCs w:val="20"/>
        </w:rPr>
        <w:t>shown</w:t>
      </w:r>
      <w:r w:rsidR="00277B5C">
        <w:rPr>
          <w:rFonts w:cs="Arial"/>
          <w:szCs w:val="20"/>
        </w:rPr>
        <w:t xml:space="preserve"> on the Smithfield local plan maps contained in Schedule 2.</w:t>
      </w:r>
    </w:p>
    <w:p w:rsidR="00A40895" w:rsidRDefault="00A40895" w:rsidP="00A40895">
      <w:pPr>
        <w:rPr>
          <w:rFonts w:cs="Arial"/>
          <w:szCs w:val="20"/>
        </w:rPr>
      </w:pPr>
      <w:r w:rsidRPr="00453CC2">
        <w:rPr>
          <w:rFonts w:cs="Arial"/>
          <w:szCs w:val="20"/>
        </w:rPr>
        <w:t>When using this code, reference should be made to Part 5.</w:t>
      </w:r>
    </w:p>
    <w:p w:rsidR="00A40895" w:rsidRDefault="00A40895" w:rsidP="00A40895">
      <w:pPr>
        <w:pStyle w:val="Heading4"/>
        <w:ind w:left="851"/>
      </w:pPr>
      <w:r w:rsidRPr="0095151F">
        <w:t>Context and setting</w:t>
      </w:r>
    </w:p>
    <w:p w:rsidR="00A40895" w:rsidRPr="00136810" w:rsidRDefault="00A40895" w:rsidP="00A40895">
      <w:pPr>
        <w:rPr>
          <w:rFonts w:cs="Arial"/>
          <w:szCs w:val="20"/>
        </w:rPr>
      </w:pPr>
      <w:r w:rsidRPr="00136810">
        <w:rPr>
          <w:rFonts w:cs="Arial"/>
          <w:szCs w:val="20"/>
        </w:rPr>
        <w:t xml:space="preserve">This section is extrinsic material under section 15 of the </w:t>
      </w:r>
      <w:r w:rsidRPr="00A16EAF">
        <w:rPr>
          <w:rFonts w:cs="Arial"/>
          <w:i/>
          <w:szCs w:val="20"/>
        </w:rPr>
        <w:t>Statutory Instruments Act 1992</w:t>
      </w:r>
      <w:r w:rsidRPr="00136810">
        <w:rPr>
          <w:rFonts w:cs="Arial"/>
          <w:szCs w:val="20"/>
        </w:rPr>
        <w:t xml:space="preserve"> and is intended to assist in t</w:t>
      </w:r>
      <w:r>
        <w:rPr>
          <w:rFonts w:cs="Arial"/>
          <w:szCs w:val="20"/>
        </w:rPr>
        <w:t>he interpretation of the Smithfield</w:t>
      </w:r>
      <w:r w:rsidRPr="00136810">
        <w:rPr>
          <w:rFonts w:cs="Arial"/>
          <w:szCs w:val="20"/>
        </w:rPr>
        <w:t xml:space="preserve"> local plan code. </w:t>
      </w: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175"/>
      </w:tblGrid>
      <w:tr w:rsidR="00A40895" w:rsidTr="00590463">
        <w:trPr>
          <w:trHeight w:val="779"/>
        </w:trPr>
        <w:tc>
          <w:tcPr>
            <w:tcW w:w="14175" w:type="dxa"/>
            <w:shd w:val="clear" w:color="auto" w:fill="D9D9D9"/>
          </w:tcPr>
          <w:p w:rsidR="00A40895" w:rsidRDefault="00A40895" w:rsidP="004610D2">
            <w:pPr>
              <w:rPr>
                <w:rFonts w:cs="Arial"/>
                <w:szCs w:val="20"/>
              </w:rPr>
            </w:pPr>
            <w:r w:rsidRPr="00A40895">
              <w:rPr>
                <w:rFonts w:ascii="Arial" w:eastAsia="Times New Roman" w:hAnsi="Arial" w:cs="Arial"/>
                <w:szCs w:val="20"/>
              </w:rPr>
              <w:t xml:space="preserve">The Smithfield local plan establishes a community of interest generally from the Kennedy Highway north to Reed Road. This forms part of a greater community commonly known as the Cairns Northern Beaches. The Smithfield </w:t>
            </w:r>
            <w:r w:rsidR="004610D2">
              <w:rPr>
                <w:rFonts w:ascii="Arial" w:eastAsia="Times New Roman" w:hAnsi="Arial" w:cs="Arial"/>
                <w:szCs w:val="20"/>
              </w:rPr>
              <w:t>M</w:t>
            </w:r>
            <w:r w:rsidRPr="00A40895">
              <w:rPr>
                <w:rFonts w:ascii="Arial" w:eastAsia="Times New Roman" w:hAnsi="Arial" w:cs="Arial"/>
                <w:szCs w:val="20"/>
              </w:rPr>
              <w:t>ajor centre anchors the southern end of the Smithfield local plan area, providing an activity and employment node for the daily and weekly needs of the Cairns Northern Beaches residents.</w:t>
            </w:r>
          </w:p>
        </w:tc>
      </w:tr>
      <w:tr w:rsidR="00984C3E" w:rsidTr="00590463">
        <w:trPr>
          <w:trHeight w:val="444"/>
        </w:trPr>
        <w:tc>
          <w:tcPr>
            <w:tcW w:w="14175" w:type="dxa"/>
            <w:shd w:val="clear" w:color="auto" w:fill="D9D9D9"/>
          </w:tcPr>
          <w:p w:rsidR="00984C3E" w:rsidDel="00984C3E" w:rsidRDefault="00984C3E" w:rsidP="00A40895">
            <w:pPr>
              <w:rPr>
                <w:rFonts w:cs="Arial"/>
                <w:szCs w:val="20"/>
              </w:rPr>
            </w:pPr>
            <w:r w:rsidRPr="00A40895">
              <w:rPr>
                <w:rFonts w:ascii="Arial" w:eastAsia="Times New Roman" w:hAnsi="Arial" w:cs="Arial"/>
                <w:szCs w:val="20"/>
              </w:rPr>
              <w:t>Major focus of development in the local plan area contributes to infill and renewal development of residential stock around centres and activity focus areas, supporting the vibrancy of centres, community focal points and public transport opportunities. Connectivity is increased between communities, with particular emphasis on convenient and comfortable pedestrian and cycle connections.</w:t>
            </w:r>
          </w:p>
        </w:tc>
      </w:tr>
      <w:tr w:rsidR="00984C3E" w:rsidTr="00590463">
        <w:trPr>
          <w:trHeight w:val="690"/>
        </w:trPr>
        <w:tc>
          <w:tcPr>
            <w:tcW w:w="14175" w:type="dxa"/>
            <w:shd w:val="clear" w:color="auto" w:fill="D9D9D9"/>
          </w:tcPr>
          <w:p w:rsidR="00984C3E" w:rsidRPr="00A40895" w:rsidRDefault="00984C3E" w:rsidP="002204BC">
            <w:pPr>
              <w:rPr>
                <w:rFonts w:ascii="Arial" w:eastAsia="Times New Roman" w:hAnsi="Arial" w:cs="Arial"/>
                <w:szCs w:val="20"/>
              </w:rPr>
            </w:pPr>
            <w:r w:rsidRPr="00A40895">
              <w:rPr>
                <w:rFonts w:ascii="Arial" w:eastAsia="Times New Roman" w:hAnsi="Arial" w:cs="Arial"/>
                <w:szCs w:val="20"/>
              </w:rPr>
              <w:t>A variety of centre</w:t>
            </w:r>
            <w:r w:rsidR="007D723F">
              <w:rPr>
                <w:rFonts w:ascii="Arial" w:eastAsia="Times New Roman" w:hAnsi="Arial" w:cs="Arial"/>
                <w:szCs w:val="20"/>
              </w:rPr>
              <w:t>s</w:t>
            </w:r>
            <w:r w:rsidRPr="00A40895">
              <w:rPr>
                <w:rFonts w:ascii="Arial" w:eastAsia="Times New Roman" w:hAnsi="Arial" w:cs="Arial"/>
                <w:szCs w:val="20"/>
              </w:rPr>
              <w:t xml:space="preserve"> are established within the community</w:t>
            </w:r>
            <w:r w:rsidR="007D723F">
              <w:rPr>
                <w:rFonts w:ascii="Arial" w:eastAsia="Times New Roman" w:hAnsi="Arial" w:cs="Arial"/>
                <w:szCs w:val="20"/>
              </w:rPr>
              <w:t>. This ensures</w:t>
            </w:r>
            <w:r w:rsidRPr="00A40895">
              <w:rPr>
                <w:rFonts w:ascii="Arial" w:eastAsia="Times New Roman" w:hAnsi="Arial" w:cs="Arial"/>
                <w:szCs w:val="20"/>
              </w:rPr>
              <w:t xml:space="preserve"> </w:t>
            </w:r>
            <w:r w:rsidR="007D723F">
              <w:rPr>
                <w:rFonts w:ascii="Arial" w:eastAsia="Times New Roman" w:hAnsi="Arial" w:cs="Arial"/>
                <w:szCs w:val="20"/>
              </w:rPr>
              <w:t xml:space="preserve">the </w:t>
            </w:r>
            <w:r w:rsidRPr="00A40895">
              <w:rPr>
                <w:rFonts w:ascii="Arial" w:eastAsia="Times New Roman" w:hAnsi="Arial" w:cs="Arial"/>
                <w:szCs w:val="20"/>
              </w:rPr>
              <w:t xml:space="preserve">needs of the community are adequately </w:t>
            </w:r>
            <w:r w:rsidR="007D723F">
              <w:rPr>
                <w:rFonts w:ascii="Arial" w:eastAsia="Times New Roman" w:hAnsi="Arial" w:cs="Arial"/>
                <w:szCs w:val="20"/>
              </w:rPr>
              <w:t>met</w:t>
            </w:r>
            <w:r w:rsidR="007D723F" w:rsidRPr="00A40895">
              <w:rPr>
                <w:rFonts w:ascii="Arial" w:eastAsia="Times New Roman" w:hAnsi="Arial" w:cs="Arial"/>
                <w:szCs w:val="20"/>
              </w:rPr>
              <w:t xml:space="preserve"> </w:t>
            </w:r>
            <w:r w:rsidRPr="00A40895">
              <w:rPr>
                <w:rFonts w:ascii="Arial" w:eastAsia="Times New Roman" w:hAnsi="Arial" w:cs="Arial"/>
                <w:szCs w:val="20"/>
              </w:rPr>
              <w:t>(e.g. child care centres, small-scale convenience, business and café style developments). Public spaces and facilities are provided adjacent</w:t>
            </w:r>
            <w:r w:rsidR="007D723F">
              <w:rPr>
                <w:rFonts w:ascii="Arial" w:eastAsia="Times New Roman" w:hAnsi="Arial" w:cs="Arial"/>
                <w:szCs w:val="20"/>
              </w:rPr>
              <w:t xml:space="preserve"> to</w:t>
            </w:r>
            <w:r w:rsidRPr="00A40895">
              <w:rPr>
                <w:rFonts w:ascii="Arial" w:eastAsia="Times New Roman" w:hAnsi="Arial" w:cs="Arial"/>
                <w:szCs w:val="20"/>
              </w:rPr>
              <w:t xml:space="preserve">, or </w:t>
            </w:r>
            <w:r w:rsidR="007D723F">
              <w:rPr>
                <w:rFonts w:ascii="Arial" w:eastAsia="Times New Roman" w:hAnsi="Arial" w:cs="Arial"/>
                <w:szCs w:val="20"/>
              </w:rPr>
              <w:t>within</w:t>
            </w:r>
            <w:r w:rsidRPr="00A40895">
              <w:rPr>
                <w:rFonts w:ascii="Arial" w:eastAsia="Times New Roman" w:hAnsi="Arial" w:cs="Arial"/>
                <w:szCs w:val="20"/>
              </w:rPr>
              <w:t xml:space="preserve"> activity areas, ensuring </w:t>
            </w:r>
            <w:r w:rsidR="007D723F">
              <w:rPr>
                <w:rFonts w:ascii="Arial" w:eastAsia="Times New Roman" w:hAnsi="Arial" w:cs="Arial"/>
                <w:szCs w:val="20"/>
              </w:rPr>
              <w:t xml:space="preserve">the </w:t>
            </w:r>
            <w:r w:rsidRPr="00A40895">
              <w:rPr>
                <w:rFonts w:ascii="Arial" w:eastAsia="Times New Roman" w:hAnsi="Arial" w:cs="Arial"/>
                <w:szCs w:val="20"/>
              </w:rPr>
              <w:t xml:space="preserve">efficient use of land </w:t>
            </w:r>
            <w:r w:rsidR="007D723F">
              <w:rPr>
                <w:rFonts w:ascii="Arial" w:eastAsia="Times New Roman" w:hAnsi="Arial" w:cs="Arial"/>
                <w:szCs w:val="20"/>
              </w:rPr>
              <w:t xml:space="preserve">is achieved </w:t>
            </w:r>
            <w:r w:rsidRPr="00A40895">
              <w:rPr>
                <w:rFonts w:ascii="Arial" w:eastAsia="Times New Roman" w:hAnsi="Arial" w:cs="Arial"/>
                <w:szCs w:val="20"/>
              </w:rPr>
              <w:t xml:space="preserve">and </w:t>
            </w:r>
            <w:r w:rsidR="007D723F">
              <w:rPr>
                <w:rFonts w:ascii="Arial" w:eastAsia="Times New Roman" w:hAnsi="Arial" w:cs="Arial"/>
                <w:szCs w:val="20"/>
              </w:rPr>
              <w:t>will</w:t>
            </w:r>
            <w:r w:rsidR="007D723F" w:rsidRPr="00A40895">
              <w:rPr>
                <w:rFonts w:ascii="Arial" w:eastAsia="Times New Roman" w:hAnsi="Arial" w:cs="Arial"/>
                <w:szCs w:val="20"/>
              </w:rPr>
              <w:t xml:space="preserve"> enhance</w:t>
            </w:r>
            <w:r w:rsidRPr="00A40895">
              <w:rPr>
                <w:rFonts w:ascii="Arial" w:eastAsia="Times New Roman" w:hAnsi="Arial" w:cs="Arial"/>
                <w:szCs w:val="20"/>
              </w:rPr>
              <w:t xml:space="preserve"> the establishment of ‘places’.</w:t>
            </w:r>
          </w:p>
        </w:tc>
      </w:tr>
      <w:tr w:rsidR="00984C3E" w:rsidTr="00590463">
        <w:trPr>
          <w:trHeight w:val="496"/>
        </w:trPr>
        <w:tc>
          <w:tcPr>
            <w:tcW w:w="14175" w:type="dxa"/>
            <w:shd w:val="clear" w:color="auto" w:fill="D9D9D9"/>
          </w:tcPr>
          <w:p w:rsidR="00984C3E" w:rsidRPr="00A40895" w:rsidRDefault="00984C3E" w:rsidP="00A40895">
            <w:pPr>
              <w:rPr>
                <w:rFonts w:ascii="Arial" w:eastAsia="Times New Roman" w:hAnsi="Arial" w:cs="Arial"/>
                <w:szCs w:val="20"/>
              </w:rPr>
            </w:pPr>
            <w:r w:rsidRPr="00A40895">
              <w:rPr>
                <w:rFonts w:ascii="Arial" w:eastAsia="Times New Roman" w:hAnsi="Arial" w:cs="Arial"/>
                <w:szCs w:val="20"/>
              </w:rPr>
              <w:t>Growth in the Smithfield area focusses on supporting increased economic activity to support wider principles of increasing self-containment and local employment opportunities. Mixed use and higher residential densities are encouraged to support local activity and provide a base for growth around centres and supporting future transport networks.</w:t>
            </w:r>
          </w:p>
        </w:tc>
      </w:tr>
      <w:tr w:rsidR="00984C3E" w:rsidTr="00590463">
        <w:trPr>
          <w:trHeight w:val="809"/>
        </w:trPr>
        <w:tc>
          <w:tcPr>
            <w:tcW w:w="14175" w:type="dxa"/>
            <w:shd w:val="clear" w:color="auto" w:fill="D9D9D9"/>
          </w:tcPr>
          <w:p w:rsidR="00984C3E" w:rsidRPr="00A40895" w:rsidRDefault="00984C3E" w:rsidP="004610D2">
            <w:pPr>
              <w:rPr>
                <w:rFonts w:ascii="Arial" w:eastAsia="Times New Roman" w:hAnsi="Arial" w:cs="Arial"/>
                <w:szCs w:val="20"/>
              </w:rPr>
            </w:pPr>
            <w:r w:rsidRPr="00A40895">
              <w:rPr>
                <w:rFonts w:ascii="Arial" w:eastAsia="Times New Roman" w:hAnsi="Arial" w:cs="Arial"/>
                <w:szCs w:val="20"/>
              </w:rPr>
              <w:t xml:space="preserve">The structure of the growth and activity will revolve around the growth of the James Cook University and future business, local employment and opportunities for residential higher densities along the McGregor Road corridor. James Cook University and the Smithfield </w:t>
            </w:r>
            <w:r w:rsidR="004610D2">
              <w:rPr>
                <w:rFonts w:ascii="Arial" w:eastAsia="Times New Roman" w:hAnsi="Arial" w:cs="Arial"/>
                <w:szCs w:val="20"/>
              </w:rPr>
              <w:t>M</w:t>
            </w:r>
            <w:r w:rsidRPr="00A40895">
              <w:rPr>
                <w:rFonts w:ascii="Arial" w:eastAsia="Times New Roman" w:hAnsi="Arial" w:cs="Arial"/>
                <w:szCs w:val="20"/>
              </w:rPr>
              <w:t xml:space="preserve">ajor centre will form the two key activity nodes. Strong connections between, to and through these two nodes is critical </w:t>
            </w:r>
            <w:r w:rsidR="00646559">
              <w:rPr>
                <w:rFonts w:ascii="Arial" w:eastAsia="Times New Roman" w:hAnsi="Arial" w:cs="Arial"/>
                <w:szCs w:val="20"/>
              </w:rPr>
              <w:t>to the enhancement of the community’s structure and connectivity</w:t>
            </w:r>
            <w:r w:rsidRPr="00A40895">
              <w:rPr>
                <w:rFonts w:ascii="Arial" w:eastAsia="Times New Roman" w:hAnsi="Arial" w:cs="Arial"/>
                <w:szCs w:val="20"/>
              </w:rPr>
              <w:t xml:space="preserve">. </w:t>
            </w:r>
          </w:p>
        </w:tc>
      </w:tr>
      <w:tr w:rsidR="00984C3E" w:rsidTr="00590463">
        <w:trPr>
          <w:trHeight w:val="1608"/>
        </w:trPr>
        <w:tc>
          <w:tcPr>
            <w:tcW w:w="14175" w:type="dxa"/>
            <w:shd w:val="clear" w:color="auto" w:fill="D9D9D9"/>
          </w:tcPr>
          <w:p w:rsidR="00984C3E" w:rsidRPr="00A40895" w:rsidRDefault="00984C3E" w:rsidP="004610D2">
            <w:pPr>
              <w:rPr>
                <w:rFonts w:ascii="Arial" w:eastAsia="Times New Roman" w:hAnsi="Arial" w:cs="Arial"/>
                <w:szCs w:val="20"/>
              </w:rPr>
            </w:pPr>
            <w:r w:rsidRPr="00A40895">
              <w:rPr>
                <w:rFonts w:ascii="Arial" w:eastAsia="Times New Roman" w:hAnsi="Arial" w:cs="Arial"/>
                <w:szCs w:val="20"/>
              </w:rPr>
              <w:t xml:space="preserve">The Smithfield </w:t>
            </w:r>
            <w:r w:rsidR="004610D2">
              <w:rPr>
                <w:rFonts w:ascii="Arial" w:eastAsia="Times New Roman" w:hAnsi="Arial" w:cs="Arial"/>
                <w:szCs w:val="20"/>
              </w:rPr>
              <w:t>M</w:t>
            </w:r>
            <w:r w:rsidRPr="00A40895">
              <w:rPr>
                <w:rFonts w:ascii="Arial" w:eastAsia="Times New Roman" w:hAnsi="Arial" w:cs="Arial"/>
                <w:szCs w:val="20"/>
              </w:rPr>
              <w:t xml:space="preserve">ajor centre consists of the </w:t>
            </w:r>
            <w:r>
              <w:rPr>
                <w:rFonts w:ascii="Arial" w:eastAsia="Times New Roman" w:hAnsi="Arial" w:cs="Arial"/>
                <w:szCs w:val="20"/>
              </w:rPr>
              <w:t>s</w:t>
            </w:r>
            <w:r w:rsidRPr="00A40895">
              <w:rPr>
                <w:rFonts w:ascii="Arial" w:eastAsia="Times New Roman" w:hAnsi="Arial" w:cs="Arial"/>
                <w:szCs w:val="20"/>
              </w:rPr>
              <w:t xml:space="preserve">hopping </w:t>
            </w:r>
            <w:r>
              <w:rPr>
                <w:rFonts w:ascii="Arial" w:eastAsia="Times New Roman" w:hAnsi="Arial" w:cs="Arial"/>
                <w:szCs w:val="20"/>
              </w:rPr>
              <w:t>c</w:t>
            </w:r>
            <w:r w:rsidRPr="00A40895">
              <w:rPr>
                <w:rFonts w:ascii="Arial" w:eastAsia="Times New Roman" w:hAnsi="Arial" w:cs="Arial"/>
                <w:szCs w:val="20"/>
              </w:rPr>
              <w:t xml:space="preserve">entre to the west of the Captain Cook Highway and big box style employment, local convenience and some residential development to the east. The node is generally bound to the north by Stanton Road where existing uses are intended to transition to attractive professional services, residential densities and mixed-use development, supporting east-west road networks, pedestrian and cycle links and transport opportunities. The Smithfield shopping centre remains the dominant focus of retail opportunities for the Cairns Northern Beaches. Small scale and boutique retail markets </w:t>
            </w:r>
            <w:proofErr w:type="gramStart"/>
            <w:r w:rsidRPr="00A40895">
              <w:rPr>
                <w:rFonts w:ascii="Arial" w:eastAsia="Times New Roman" w:hAnsi="Arial" w:cs="Arial"/>
                <w:szCs w:val="20"/>
              </w:rPr>
              <w:t>may be established</w:t>
            </w:r>
            <w:proofErr w:type="gramEnd"/>
            <w:r w:rsidRPr="00A40895">
              <w:rPr>
                <w:rFonts w:ascii="Arial" w:eastAsia="Times New Roman" w:hAnsi="Arial" w:cs="Arial"/>
                <w:szCs w:val="20"/>
              </w:rPr>
              <w:t xml:space="preserve"> elsewhere to support local communities and tourist markets, although it is anticipated that these do not occur in significant shopping centre developments.</w:t>
            </w:r>
          </w:p>
        </w:tc>
        <w:bookmarkStart w:id="0" w:name="_GoBack"/>
        <w:bookmarkEnd w:id="0"/>
      </w:tr>
      <w:tr w:rsidR="00977854" w:rsidTr="00590463">
        <w:trPr>
          <w:trHeight w:val="211"/>
        </w:trPr>
        <w:tc>
          <w:tcPr>
            <w:tcW w:w="14175" w:type="dxa"/>
            <w:shd w:val="clear" w:color="auto" w:fill="D9D9D9"/>
          </w:tcPr>
          <w:p w:rsidR="00977854" w:rsidRPr="00A40895" w:rsidRDefault="00977854" w:rsidP="0069428D">
            <w:pPr>
              <w:rPr>
                <w:rFonts w:eastAsiaTheme="minorEastAsia"/>
                <w:lang w:eastAsia="en-AU"/>
              </w:rPr>
            </w:pPr>
            <w:r w:rsidRPr="00A40895">
              <w:lastRenderedPageBreak/>
              <w:t>The Smithfield Shopping Centre site diversifies its economic activity and productivity and challenges traditional shopping centre design by utilising space in a more efficient and innovative manner. Night time activity and entertainment with a pedestrian friendly environment is established. Professional services and business facilities are established in new buildings, providing for a needed market for the Cairns Northern Beaches. Parking is consolidated within multi-level structures which are sleeved and designed for active frontages, and/or pedestrian focussed environments. This allows for the new buildings and changes to the built form to occur. Opportunity exists for a gateway building fronting the Kennedy Highway and Captain Cook Highway, signifying the gateway and arrival to a developing community of interest and economic activity in the Cairns Northern Beaches area.</w:t>
            </w:r>
          </w:p>
        </w:tc>
      </w:tr>
      <w:tr w:rsidR="00977854" w:rsidTr="00590463">
        <w:trPr>
          <w:trHeight w:val="2391"/>
        </w:trPr>
        <w:tc>
          <w:tcPr>
            <w:tcW w:w="14175" w:type="dxa"/>
            <w:shd w:val="clear" w:color="auto" w:fill="D9D9D9"/>
          </w:tcPr>
          <w:p w:rsidR="00977854" w:rsidRPr="00A40895" w:rsidRDefault="00977854" w:rsidP="00A40895">
            <w:pPr>
              <w:rPr>
                <w:rFonts w:ascii="Arial" w:eastAsia="Times New Roman" w:hAnsi="Arial" w:cs="Arial"/>
                <w:szCs w:val="20"/>
              </w:rPr>
            </w:pPr>
            <w:r w:rsidRPr="00A40895">
              <w:rPr>
                <w:rFonts w:ascii="Arial" w:eastAsia="Times New Roman" w:hAnsi="Arial" w:cs="Arial"/>
                <w:szCs w:val="20"/>
              </w:rPr>
              <w:t xml:space="preserve">The James Cook University is a major anchor for growth and business attraction to the Cairns Northern Beaches. While the planning scheme has little influence over the activities on the James Cook University site, the built form outcomes and layout of its future development is encouraged to continually seek a high level of integration with the surrounding community and land uses. Professional services, business and research aligned industries are encouraged to establish on and opposite the university. McGregor Road, </w:t>
            </w:r>
            <w:proofErr w:type="spellStart"/>
            <w:r w:rsidRPr="00A40895">
              <w:rPr>
                <w:rFonts w:ascii="Arial" w:eastAsia="Times New Roman" w:hAnsi="Arial" w:cs="Arial"/>
                <w:szCs w:val="20"/>
              </w:rPr>
              <w:t>Maisel</w:t>
            </w:r>
            <w:proofErr w:type="spellEnd"/>
            <w:r w:rsidRPr="00A40895">
              <w:rPr>
                <w:rFonts w:ascii="Arial" w:eastAsia="Times New Roman" w:hAnsi="Arial" w:cs="Arial"/>
                <w:szCs w:val="20"/>
              </w:rPr>
              <w:t xml:space="preserve"> Close and </w:t>
            </w:r>
            <w:proofErr w:type="spellStart"/>
            <w:r w:rsidRPr="00A40895">
              <w:rPr>
                <w:rFonts w:ascii="Arial" w:eastAsia="Times New Roman" w:hAnsi="Arial" w:cs="Arial"/>
                <w:szCs w:val="20"/>
              </w:rPr>
              <w:t>Ardisia</w:t>
            </w:r>
            <w:proofErr w:type="spellEnd"/>
            <w:r w:rsidRPr="00A40895">
              <w:rPr>
                <w:rFonts w:ascii="Arial" w:eastAsia="Times New Roman" w:hAnsi="Arial" w:cs="Arial"/>
                <w:szCs w:val="20"/>
              </w:rPr>
              <w:t xml:space="preserve"> Street area encouraged to become activity focused areas supporting these forms of commerce and research. Similarly, Campus Village is encouraged to reorganise and renew its form to evolve into an area of vibrant activity providing a mix of uses and residential environments, supporting alternative modes of transport and connectivity with the university. Infill and renewal developments are encouraged to establish higher residential densities and student accommodation options.</w:t>
            </w:r>
          </w:p>
        </w:tc>
      </w:tr>
      <w:tr w:rsidR="00977854" w:rsidTr="00590463">
        <w:trPr>
          <w:trHeight w:val="306"/>
        </w:trPr>
        <w:tc>
          <w:tcPr>
            <w:tcW w:w="14175" w:type="dxa"/>
            <w:shd w:val="clear" w:color="auto" w:fill="D9D9D9"/>
          </w:tcPr>
          <w:p w:rsidR="00977854" w:rsidRPr="00A40895" w:rsidDel="00977854" w:rsidRDefault="00977854" w:rsidP="00CA62C0">
            <w:pPr>
              <w:rPr>
                <w:rFonts w:ascii="Arial" w:eastAsia="Times New Roman" w:hAnsi="Arial" w:cs="Arial"/>
                <w:szCs w:val="20"/>
              </w:rPr>
            </w:pPr>
            <w:r w:rsidRPr="00A40895">
              <w:rPr>
                <w:rFonts w:ascii="Arial" w:eastAsia="Times New Roman" w:hAnsi="Arial" w:cs="Arial"/>
                <w:szCs w:val="20"/>
              </w:rPr>
              <w:t>Land between the Smithfield Bypass and the Captain Cook Highway is utilised in its best capacity for employment and business activities. Access is difficult at the northern part of this precinct due to the Smithfield Bypass Road, which requires land to be used efficiently.</w:t>
            </w:r>
          </w:p>
        </w:tc>
      </w:tr>
      <w:tr w:rsidR="00977854" w:rsidTr="00590463">
        <w:trPr>
          <w:trHeight w:val="574"/>
        </w:trPr>
        <w:tc>
          <w:tcPr>
            <w:tcW w:w="14175" w:type="dxa"/>
            <w:shd w:val="clear" w:color="auto" w:fill="D9D9D9"/>
          </w:tcPr>
          <w:p w:rsidR="00977854" w:rsidRPr="00A40895" w:rsidRDefault="00977854" w:rsidP="002E7356">
            <w:pPr>
              <w:rPr>
                <w:rFonts w:ascii="Arial" w:eastAsia="Times New Roman" w:hAnsi="Arial" w:cs="Arial"/>
                <w:szCs w:val="20"/>
              </w:rPr>
            </w:pPr>
            <w:r w:rsidRPr="00A40895">
              <w:rPr>
                <w:rFonts w:ascii="Arial" w:eastAsia="Times New Roman" w:hAnsi="Arial" w:cs="Arial"/>
                <w:szCs w:val="20"/>
              </w:rPr>
              <w:t xml:space="preserve">Mixed residential densities are provided to the east of the Smithfield Bypass, extending north to </w:t>
            </w:r>
            <w:r w:rsidR="006F3E28">
              <w:rPr>
                <w:rFonts w:ascii="Arial" w:eastAsia="Times New Roman" w:hAnsi="Arial" w:cs="Arial"/>
                <w:szCs w:val="20"/>
              </w:rPr>
              <w:t xml:space="preserve">Trinity Beach Road.  </w:t>
            </w:r>
            <w:proofErr w:type="spellStart"/>
            <w:r w:rsidRPr="00A40895">
              <w:rPr>
                <w:rFonts w:ascii="Arial" w:eastAsia="Times New Roman" w:hAnsi="Arial" w:cs="Arial"/>
                <w:szCs w:val="20"/>
              </w:rPr>
              <w:t>hile</w:t>
            </w:r>
            <w:proofErr w:type="spellEnd"/>
            <w:r w:rsidRPr="00A40895">
              <w:rPr>
                <w:rFonts w:ascii="Arial" w:eastAsia="Times New Roman" w:hAnsi="Arial" w:cs="Arial"/>
                <w:szCs w:val="20"/>
              </w:rPr>
              <w:t xml:space="preserve"> development approvals may exist in these areas, an opportunity exists to review these development outcomes and establish a community form that has greater significance in the Smithfield area. Residential development should be well setback or buffered from low amenity areas and facilities in the Smithfield local area (such as the industry area on the eastern periphery).</w:t>
            </w:r>
            <w:r w:rsidR="002E7356">
              <w:rPr>
                <w:rFonts w:ascii="Arial" w:eastAsia="Times New Roman" w:hAnsi="Arial" w:cs="Arial"/>
                <w:szCs w:val="20"/>
              </w:rPr>
              <w:t xml:space="preserve"> Within Low medium density residential zoned areas non-residential uses are established where they serve the local community and do not detract from the residential amenity of the area.</w:t>
            </w:r>
          </w:p>
        </w:tc>
      </w:tr>
      <w:tr w:rsidR="00977854" w:rsidTr="00590463">
        <w:trPr>
          <w:trHeight w:val="851"/>
        </w:trPr>
        <w:tc>
          <w:tcPr>
            <w:tcW w:w="14175" w:type="dxa"/>
            <w:shd w:val="clear" w:color="auto" w:fill="D9D9D9"/>
          </w:tcPr>
          <w:p w:rsidR="00977854" w:rsidRPr="00A40895" w:rsidRDefault="00977854" w:rsidP="00CA62C0">
            <w:pPr>
              <w:rPr>
                <w:rFonts w:ascii="Arial" w:eastAsia="Times New Roman" w:hAnsi="Arial" w:cs="Arial"/>
                <w:szCs w:val="20"/>
              </w:rPr>
            </w:pPr>
            <w:r w:rsidRPr="00A40895">
              <w:rPr>
                <w:rFonts w:ascii="Arial" w:eastAsia="Times New Roman" w:hAnsi="Arial" w:cs="Arial"/>
                <w:szCs w:val="20"/>
              </w:rPr>
              <w:t xml:space="preserve">Community focussed design and innovative centre design and development is a particular opportunity for the residential areas east of the Bypass. The </w:t>
            </w:r>
            <w:proofErr w:type="spellStart"/>
            <w:r w:rsidRPr="00A40895">
              <w:rPr>
                <w:rFonts w:ascii="Arial" w:eastAsia="Times New Roman" w:hAnsi="Arial" w:cs="Arial"/>
                <w:szCs w:val="20"/>
              </w:rPr>
              <w:t>Cattana</w:t>
            </w:r>
            <w:proofErr w:type="spellEnd"/>
            <w:r w:rsidRPr="00A40895">
              <w:rPr>
                <w:rFonts w:ascii="Arial" w:eastAsia="Times New Roman" w:hAnsi="Arial" w:cs="Arial"/>
                <w:szCs w:val="20"/>
              </w:rPr>
              <w:t xml:space="preserve"> Wetlands should become a significant place of gathering, activity and community focus into the future as more people reside in close proximity to the natural feature.</w:t>
            </w:r>
          </w:p>
        </w:tc>
      </w:tr>
    </w:tbl>
    <w:p w:rsidR="00A40895" w:rsidRPr="005A77FA" w:rsidRDefault="00A40895" w:rsidP="00A40895">
      <w:pPr>
        <w:pStyle w:val="Heading4"/>
        <w:ind w:left="851"/>
      </w:pPr>
      <w:bookmarkStart w:id="1" w:name="_Ref394476392"/>
      <w:r w:rsidRPr="005A77FA">
        <w:t>Purpose</w:t>
      </w:r>
      <w:bookmarkEnd w:id="1"/>
      <w:r w:rsidRPr="005A77FA">
        <w:t xml:space="preserve"> </w:t>
      </w:r>
    </w:p>
    <w:p w:rsidR="00A40895" w:rsidRDefault="005B188B" w:rsidP="0069428D">
      <w:pPr>
        <w:numPr>
          <w:ilvl w:val="0"/>
          <w:numId w:val="52"/>
        </w:numPr>
        <w:spacing w:after="0"/>
        <w:rPr>
          <w:rFonts w:cs="Arial"/>
          <w:szCs w:val="20"/>
        </w:rPr>
      </w:pPr>
      <w:r>
        <w:rPr>
          <w:rFonts w:cs="Arial"/>
          <w:szCs w:val="20"/>
        </w:rPr>
        <w:t>The purpose of the Smithfield l</w:t>
      </w:r>
      <w:r w:rsidR="00A40895" w:rsidRPr="00453CC2">
        <w:rPr>
          <w:rFonts w:cs="Arial"/>
          <w:szCs w:val="20"/>
        </w:rPr>
        <w:t xml:space="preserve">ocal </w:t>
      </w:r>
      <w:r>
        <w:rPr>
          <w:rFonts w:cs="Arial"/>
          <w:szCs w:val="20"/>
        </w:rPr>
        <w:t>p</w:t>
      </w:r>
      <w:r w:rsidR="00A40895" w:rsidRPr="00453CC2">
        <w:rPr>
          <w:rFonts w:cs="Arial"/>
          <w:szCs w:val="20"/>
        </w:rPr>
        <w:t xml:space="preserve">lan code is to facilitate development that contributes to an integrated community consisting of existing and transitioning residential neighbourhoods, a consolidated </w:t>
      </w:r>
      <w:r w:rsidR="004610D2">
        <w:rPr>
          <w:rFonts w:cs="Arial"/>
          <w:szCs w:val="20"/>
        </w:rPr>
        <w:t>M</w:t>
      </w:r>
      <w:r w:rsidR="00A40895" w:rsidRPr="00453CC2">
        <w:rPr>
          <w:rFonts w:cs="Arial"/>
          <w:szCs w:val="20"/>
        </w:rPr>
        <w:t xml:space="preserve">ajor centre, new mixed use </w:t>
      </w:r>
      <w:r w:rsidR="00A40895">
        <w:rPr>
          <w:rFonts w:cs="Arial"/>
          <w:szCs w:val="20"/>
        </w:rPr>
        <w:t>development</w:t>
      </w:r>
      <w:r w:rsidR="00A40895" w:rsidRPr="00453CC2">
        <w:rPr>
          <w:rFonts w:cs="Arial"/>
          <w:szCs w:val="20"/>
        </w:rPr>
        <w:t xml:space="preserve"> and new employment nodes and the growth and integration of the James Cook University with the wider community.</w:t>
      </w:r>
    </w:p>
    <w:p w:rsidR="00A40895" w:rsidRPr="00453CC2" w:rsidRDefault="00A40895" w:rsidP="0069428D">
      <w:pPr>
        <w:spacing w:after="0"/>
        <w:ind w:left="567"/>
        <w:rPr>
          <w:rFonts w:cs="Arial"/>
          <w:szCs w:val="20"/>
        </w:rPr>
      </w:pPr>
    </w:p>
    <w:p w:rsidR="00A40895" w:rsidRPr="00453CC2" w:rsidRDefault="00A40895" w:rsidP="0069428D">
      <w:pPr>
        <w:numPr>
          <w:ilvl w:val="0"/>
          <w:numId w:val="52"/>
        </w:numPr>
        <w:spacing w:after="0"/>
        <w:rPr>
          <w:rFonts w:cs="Arial"/>
          <w:szCs w:val="20"/>
        </w:rPr>
      </w:pPr>
      <w:r w:rsidRPr="00453CC2">
        <w:rPr>
          <w:rFonts w:cs="Arial"/>
          <w:szCs w:val="20"/>
        </w:rPr>
        <w:t>The purpose of the code will be achieved through the following overall outcomes:</w:t>
      </w:r>
    </w:p>
    <w:p w:rsidR="00A40895" w:rsidRPr="00453CC2" w:rsidRDefault="00DF0AD4" w:rsidP="0069428D">
      <w:pPr>
        <w:pStyle w:val="ListParagraph"/>
        <w:numPr>
          <w:ilvl w:val="1"/>
          <w:numId w:val="52"/>
        </w:numPr>
        <w:spacing w:after="0"/>
        <w:rPr>
          <w:rFonts w:cs="Arial"/>
          <w:szCs w:val="20"/>
        </w:rPr>
      </w:pPr>
      <w:r>
        <w:rPr>
          <w:rFonts w:cs="Arial"/>
          <w:szCs w:val="20"/>
        </w:rPr>
        <w:t>t</w:t>
      </w:r>
      <w:r w:rsidR="00A40895" w:rsidRPr="00453CC2">
        <w:rPr>
          <w:rFonts w:cs="Arial"/>
          <w:szCs w:val="20"/>
        </w:rPr>
        <w:t xml:space="preserve">he structure of </w:t>
      </w:r>
      <w:r w:rsidR="00A40895">
        <w:rPr>
          <w:rFonts w:cs="Arial"/>
          <w:szCs w:val="20"/>
        </w:rPr>
        <w:t xml:space="preserve">the </w:t>
      </w:r>
      <w:r w:rsidR="00A40895" w:rsidRPr="00453CC2">
        <w:rPr>
          <w:rFonts w:cs="Arial"/>
          <w:szCs w:val="20"/>
        </w:rPr>
        <w:t xml:space="preserve">Smithfield local plan establishes a pattern of local activity and </w:t>
      </w:r>
      <w:r w:rsidR="00A40895">
        <w:rPr>
          <w:rFonts w:cs="Arial"/>
          <w:szCs w:val="20"/>
        </w:rPr>
        <w:t xml:space="preserve">an </w:t>
      </w:r>
      <w:r w:rsidR="00A40895" w:rsidRPr="00453CC2">
        <w:rPr>
          <w:rFonts w:cs="Arial"/>
          <w:szCs w:val="20"/>
        </w:rPr>
        <w:t xml:space="preserve">economy, based on two key nodes being the James Cook University at the north and the Smithfield </w:t>
      </w:r>
      <w:r w:rsidR="004610D2">
        <w:rPr>
          <w:rFonts w:cs="Arial"/>
          <w:szCs w:val="20"/>
        </w:rPr>
        <w:t>M</w:t>
      </w:r>
      <w:r w:rsidR="00A40895" w:rsidRPr="00453CC2">
        <w:rPr>
          <w:rFonts w:cs="Arial"/>
          <w:szCs w:val="20"/>
        </w:rPr>
        <w:t xml:space="preserve">ajor </w:t>
      </w:r>
      <w:r w:rsidR="00A40895">
        <w:rPr>
          <w:rFonts w:cs="Arial"/>
          <w:szCs w:val="20"/>
        </w:rPr>
        <w:t>c</w:t>
      </w:r>
      <w:r w:rsidR="00A40895" w:rsidRPr="00453CC2">
        <w:rPr>
          <w:rFonts w:cs="Arial"/>
          <w:szCs w:val="20"/>
        </w:rPr>
        <w:t>entre  at the south;</w:t>
      </w:r>
    </w:p>
    <w:p w:rsidR="00A40895" w:rsidRPr="00453CC2" w:rsidRDefault="00DF0AD4" w:rsidP="0069428D">
      <w:pPr>
        <w:pStyle w:val="ListParagraph"/>
        <w:numPr>
          <w:ilvl w:val="1"/>
          <w:numId w:val="52"/>
        </w:numPr>
        <w:spacing w:after="0"/>
        <w:rPr>
          <w:rFonts w:cs="Arial"/>
          <w:szCs w:val="20"/>
        </w:rPr>
      </w:pPr>
      <w:r>
        <w:rPr>
          <w:rFonts w:cs="Arial"/>
          <w:szCs w:val="20"/>
        </w:rPr>
        <w:lastRenderedPageBreak/>
        <w:t>e</w:t>
      </w:r>
      <w:r w:rsidR="00A40895" w:rsidRPr="00453CC2">
        <w:rPr>
          <w:rFonts w:cs="Arial"/>
          <w:szCs w:val="20"/>
        </w:rPr>
        <w:t>conomic and employment activity supports local communities and activity, and strengthens self-containment in the suburbs of the Cairns Northern Beaches;</w:t>
      </w:r>
    </w:p>
    <w:p w:rsidR="00A40895" w:rsidRPr="00453CC2" w:rsidRDefault="00DF0AD4" w:rsidP="0069428D">
      <w:pPr>
        <w:pStyle w:val="ListParagraph"/>
        <w:numPr>
          <w:ilvl w:val="1"/>
          <w:numId w:val="52"/>
        </w:numPr>
        <w:spacing w:after="0"/>
        <w:rPr>
          <w:rFonts w:cs="Arial"/>
          <w:szCs w:val="20"/>
        </w:rPr>
      </w:pPr>
      <w:r>
        <w:rPr>
          <w:rFonts w:cs="Arial"/>
          <w:szCs w:val="20"/>
        </w:rPr>
        <w:t>a</w:t>
      </w:r>
      <w:r w:rsidR="00A40895" w:rsidRPr="00453CC2">
        <w:rPr>
          <w:rFonts w:cs="Arial"/>
          <w:szCs w:val="20"/>
        </w:rPr>
        <w:t>n increase in the range of professional business and services</w:t>
      </w:r>
      <w:r w:rsidR="00A40895">
        <w:rPr>
          <w:rFonts w:cs="Arial"/>
          <w:szCs w:val="20"/>
        </w:rPr>
        <w:t>;</w:t>
      </w:r>
    </w:p>
    <w:p w:rsidR="00A40895" w:rsidRPr="00453CC2" w:rsidRDefault="00DF0AD4" w:rsidP="0069428D">
      <w:pPr>
        <w:pStyle w:val="ListParagraph"/>
        <w:numPr>
          <w:ilvl w:val="1"/>
          <w:numId w:val="52"/>
        </w:numPr>
        <w:spacing w:after="0"/>
        <w:rPr>
          <w:rFonts w:cs="Arial"/>
          <w:szCs w:val="20"/>
        </w:rPr>
      </w:pPr>
      <w:r>
        <w:rPr>
          <w:rFonts w:cs="Arial"/>
          <w:szCs w:val="20"/>
        </w:rPr>
        <w:t>p</w:t>
      </w:r>
      <w:r w:rsidR="00A40895" w:rsidRPr="00453CC2">
        <w:rPr>
          <w:rFonts w:cs="Arial"/>
          <w:szCs w:val="20"/>
        </w:rPr>
        <w:t>laces of activity offer a range of community focal points and functions;</w:t>
      </w:r>
    </w:p>
    <w:p w:rsidR="00A40895" w:rsidRPr="00453CC2" w:rsidRDefault="00DF0AD4" w:rsidP="0069428D">
      <w:pPr>
        <w:pStyle w:val="ListParagraph"/>
        <w:numPr>
          <w:ilvl w:val="1"/>
          <w:numId w:val="52"/>
        </w:numPr>
        <w:spacing w:after="0"/>
        <w:rPr>
          <w:rFonts w:cs="Arial"/>
          <w:szCs w:val="20"/>
        </w:rPr>
      </w:pPr>
      <w:r>
        <w:rPr>
          <w:rFonts w:cs="Arial"/>
          <w:szCs w:val="20"/>
        </w:rPr>
        <w:t>e</w:t>
      </w:r>
      <w:r w:rsidR="00A40895" w:rsidRPr="00453CC2">
        <w:rPr>
          <w:rFonts w:cs="Arial"/>
          <w:szCs w:val="20"/>
        </w:rPr>
        <w:t>xpansion of existing centres does not compromise the achievement of balanced demand across the Cairns Northern Beaches for retail floor space and employment activities;</w:t>
      </w:r>
    </w:p>
    <w:p w:rsidR="00A40895" w:rsidRDefault="00DF0AD4" w:rsidP="0069428D">
      <w:pPr>
        <w:pStyle w:val="ListParagraph"/>
        <w:numPr>
          <w:ilvl w:val="1"/>
          <w:numId w:val="52"/>
        </w:numPr>
        <w:spacing w:after="0"/>
        <w:rPr>
          <w:rFonts w:cs="Arial"/>
          <w:szCs w:val="20"/>
        </w:rPr>
      </w:pPr>
      <w:r>
        <w:rPr>
          <w:rFonts w:cs="Arial"/>
          <w:szCs w:val="20"/>
        </w:rPr>
        <w:t>a</w:t>
      </w:r>
      <w:r w:rsidR="00A40895" w:rsidRPr="00453CC2">
        <w:rPr>
          <w:rFonts w:cs="Arial"/>
          <w:szCs w:val="20"/>
        </w:rPr>
        <w:t xml:space="preserve"> mix of higher residential densities is established to support </w:t>
      </w:r>
      <w:r w:rsidR="002204BC">
        <w:rPr>
          <w:rFonts w:cs="Arial"/>
          <w:szCs w:val="20"/>
        </w:rPr>
        <w:t>L</w:t>
      </w:r>
      <w:r w:rsidR="00A40895" w:rsidRPr="00453CC2">
        <w:rPr>
          <w:rFonts w:cs="Arial"/>
          <w:szCs w:val="20"/>
        </w:rPr>
        <w:t>ocal centres, open spaces and future transport netwo</w:t>
      </w:r>
      <w:r w:rsidR="00A40895">
        <w:rPr>
          <w:rFonts w:cs="Arial"/>
          <w:szCs w:val="20"/>
        </w:rPr>
        <w:t>rks;</w:t>
      </w:r>
    </w:p>
    <w:p w:rsidR="009E2528" w:rsidRPr="003E562B" w:rsidRDefault="009E2528" w:rsidP="009E2528">
      <w:pPr>
        <w:numPr>
          <w:ilvl w:val="1"/>
          <w:numId w:val="52"/>
        </w:numPr>
        <w:spacing w:after="0"/>
        <w:rPr>
          <w:rFonts w:cs="Arial"/>
          <w:szCs w:val="20"/>
        </w:rPr>
      </w:pPr>
      <w:r>
        <w:rPr>
          <w:rFonts w:cs="Arial"/>
          <w:szCs w:val="20"/>
        </w:rPr>
        <w:t>appropriately scaled public art and cultural infrastructure is provided;</w:t>
      </w:r>
    </w:p>
    <w:p w:rsidR="00A40895" w:rsidRDefault="00DF0AD4" w:rsidP="0069428D">
      <w:pPr>
        <w:pStyle w:val="ListParagraph"/>
        <w:numPr>
          <w:ilvl w:val="1"/>
          <w:numId w:val="52"/>
        </w:numPr>
        <w:spacing w:after="0"/>
        <w:rPr>
          <w:rFonts w:cs="Arial"/>
          <w:szCs w:val="20"/>
        </w:rPr>
      </w:pPr>
      <w:r>
        <w:rPr>
          <w:rFonts w:cs="Arial"/>
          <w:szCs w:val="20"/>
        </w:rPr>
        <w:t>p</w:t>
      </w:r>
      <w:r w:rsidR="00A40895" w:rsidRPr="00453CC2">
        <w:rPr>
          <w:rFonts w:cs="Arial"/>
          <w:szCs w:val="20"/>
        </w:rPr>
        <w:t xml:space="preserve">edestrian, bicycle, public transport and road networks are provided to improve the connectedness of communities within and adjacent to the Smithfield </w:t>
      </w:r>
      <w:r w:rsidR="00A40895">
        <w:rPr>
          <w:rFonts w:cs="Arial"/>
          <w:szCs w:val="20"/>
        </w:rPr>
        <w:t>l</w:t>
      </w:r>
      <w:r w:rsidR="00A40895" w:rsidRPr="00453CC2">
        <w:rPr>
          <w:rFonts w:cs="Arial"/>
          <w:szCs w:val="20"/>
        </w:rPr>
        <w:t xml:space="preserve">ocal </w:t>
      </w:r>
      <w:r w:rsidR="00A40895">
        <w:rPr>
          <w:rFonts w:cs="Arial"/>
          <w:szCs w:val="20"/>
        </w:rPr>
        <w:t>p</w:t>
      </w:r>
      <w:r w:rsidR="00A40895" w:rsidRPr="00453CC2">
        <w:rPr>
          <w:rFonts w:cs="Arial"/>
          <w:szCs w:val="20"/>
        </w:rPr>
        <w:t>lan area;</w:t>
      </w:r>
    </w:p>
    <w:p w:rsidR="00A40895" w:rsidRPr="00C311D9" w:rsidRDefault="00DF0AD4" w:rsidP="00B81A0D">
      <w:pPr>
        <w:pStyle w:val="ListParagraph"/>
        <w:numPr>
          <w:ilvl w:val="1"/>
          <w:numId w:val="52"/>
        </w:numPr>
        <w:spacing w:after="0"/>
      </w:pPr>
      <w:r>
        <w:rPr>
          <w:rFonts w:cs="Arial"/>
          <w:szCs w:val="20"/>
        </w:rPr>
        <w:t>t</w:t>
      </w:r>
      <w:r w:rsidR="00A40895">
        <w:rPr>
          <w:rFonts w:cs="Arial"/>
          <w:szCs w:val="20"/>
        </w:rPr>
        <w:t>he height of buildings and structures emphasises the importance and role of individual Precincts and ensures heights transition down to surrounding residential areas;</w:t>
      </w:r>
    </w:p>
    <w:p w:rsidR="00A40895" w:rsidRPr="00463B6B" w:rsidRDefault="00DF0AD4" w:rsidP="0069428D">
      <w:pPr>
        <w:numPr>
          <w:ilvl w:val="1"/>
          <w:numId w:val="52"/>
        </w:numPr>
        <w:spacing w:after="0"/>
        <w:contextualSpacing/>
        <w:jc w:val="both"/>
        <w:rPr>
          <w:rFonts w:cs="Arial"/>
          <w:szCs w:val="20"/>
        </w:rPr>
      </w:pPr>
      <w:r>
        <w:rPr>
          <w:rFonts w:cs="Arial"/>
          <w:szCs w:val="20"/>
        </w:rPr>
        <w:t>g</w:t>
      </w:r>
      <w:r w:rsidR="00A40895" w:rsidRPr="00463B6B">
        <w:rPr>
          <w:rFonts w:cs="Arial"/>
          <w:szCs w:val="20"/>
        </w:rPr>
        <w:t>ateway sites are given significance through their use and built form in:</w:t>
      </w:r>
    </w:p>
    <w:p w:rsidR="00A40895" w:rsidRPr="00453CC2" w:rsidRDefault="00A40895" w:rsidP="0069428D">
      <w:pPr>
        <w:pStyle w:val="ListParagraph"/>
        <w:numPr>
          <w:ilvl w:val="2"/>
          <w:numId w:val="52"/>
        </w:numPr>
        <w:spacing w:after="0"/>
        <w:rPr>
          <w:rFonts w:cs="Arial"/>
          <w:szCs w:val="20"/>
        </w:rPr>
      </w:pPr>
      <w:r>
        <w:rPr>
          <w:rFonts w:cs="Arial"/>
          <w:szCs w:val="20"/>
        </w:rPr>
        <w:t xml:space="preserve">the way they </w:t>
      </w:r>
      <w:r w:rsidRPr="00453CC2">
        <w:rPr>
          <w:rFonts w:cs="Arial"/>
          <w:szCs w:val="20"/>
        </w:rPr>
        <w:t>address road, pedestrian, transport connections and public spaces;</w:t>
      </w:r>
    </w:p>
    <w:p w:rsidR="00A40895" w:rsidRPr="002701F7" w:rsidRDefault="00A40895">
      <w:pPr>
        <w:pStyle w:val="ListParagraph"/>
        <w:numPr>
          <w:ilvl w:val="2"/>
          <w:numId w:val="52"/>
        </w:numPr>
        <w:spacing w:after="0"/>
        <w:rPr>
          <w:rFonts w:cs="Arial"/>
          <w:szCs w:val="20"/>
        </w:rPr>
      </w:pPr>
      <w:r w:rsidRPr="00453CC2">
        <w:rPr>
          <w:rFonts w:cs="Arial"/>
          <w:szCs w:val="20"/>
        </w:rPr>
        <w:t>their height</w:t>
      </w:r>
      <w:r w:rsidR="006F60BF">
        <w:rPr>
          <w:rFonts w:cs="Arial"/>
          <w:szCs w:val="20"/>
        </w:rPr>
        <w:t xml:space="preserve"> and </w:t>
      </w:r>
      <w:r w:rsidRPr="002701F7">
        <w:rPr>
          <w:rFonts w:cs="Arial"/>
          <w:szCs w:val="20"/>
        </w:rPr>
        <w:t>architectural design.</w:t>
      </w:r>
    </w:p>
    <w:p w:rsidR="00A40895" w:rsidRPr="00A40895" w:rsidRDefault="00A40895" w:rsidP="0069428D">
      <w:pPr>
        <w:pStyle w:val="ListParagraph"/>
        <w:spacing w:after="0"/>
        <w:ind w:left="1701"/>
        <w:rPr>
          <w:rFonts w:cs="Arial"/>
          <w:szCs w:val="20"/>
        </w:rPr>
      </w:pPr>
    </w:p>
    <w:p w:rsidR="00A40895" w:rsidRPr="00036CBD" w:rsidRDefault="00A40895">
      <w:pPr>
        <w:spacing w:after="0"/>
        <w:rPr>
          <w:rFonts w:cs="Arial"/>
          <w:b/>
          <w:szCs w:val="20"/>
        </w:rPr>
      </w:pPr>
      <w:r w:rsidRPr="00036CBD">
        <w:rPr>
          <w:rFonts w:cs="Arial"/>
          <w:b/>
          <w:szCs w:val="20"/>
        </w:rPr>
        <w:t xml:space="preserve">Precinct 1 – Smithfield </w:t>
      </w:r>
      <w:r w:rsidR="004610D2">
        <w:rPr>
          <w:rFonts w:cs="Arial"/>
          <w:b/>
          <w:szCs w:val="20"/>
        </w:rPr>
        <w:t>M</w:t>
      </w:r>
      <w:r w:rsidRPr="00036CBD">
        <w:rPr>
          <w:rFonts w:cs="Arial"/>
          <w:b/>
          <w:szCs w:val="20"/>
        </w:rPr>
        <w:t xml:space="preserve">ajor centre </w:t>
      </w:r>
    </w:p>
    <w:p w:rsidR="00EE5FEB" w:rsidRPr="00431B3F" w:rsidRDefault="00EE5FEB" w:rsidP="0069428D">
      <w:pPr>
        <w:numPr>
          <w:ilvl w:val="0"/>
          <w:numId w:val="5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_Ref394476392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7.2.8.3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A40895" w:rsidRDefault="00A40895" w:rsidP="0069428D">
      <w:pPr>
        <w:numPr>
          <w:ilvl w:val="1"/>
          <w:numId w:val="52"/>
        </w:numPr>
        <w:spacing w:after="0"/>
        <w:rPr>
          <w:rFonts w:cs="Arial"/>
          <w:szCs w:val="20"/>
        </w:rPr>
      </w:pPr>
      <w:r>
        <w:rPr>
          <w:rFonts w:cs="Arial"/>
          <w:szCs w:val="20"/>
        </w:rPr>
        <w:t>Precinct 1 – S</w:t>
      </w:r>
      <w:r w:rsidR="007570BF">
        <w:rPr>
          <w:rFonts w:cs="Arial"/>
          <w:szCs w:val="20"/>
        </w:rPr>
        <w:t xml:space="preserve">mithfield </w:t>
      </w:r>
      <w:r w:rsidR="004610D2">
        <w:rPr>
          <w:rFonts w:cs="Arial"/>
          <w:szCs w:val="20"/>
        </w:rPr>
        <w:t>M</w:t>
      </w:r>
      <w:r w:rsidR="007570BF">
        <w:rPr>
          <w:rFonts w:cs="Arial"/>
          <w:szCs w:val="20"/>
        </w:rPr>
        <w:t>ajor centre c</w:t>
      </w:r>
      <w:r>
        <w:rPr>
          <w:rFonts w:cs="Arial"/>
          <w:szCs w:val="20"/>
        </w:rPr>
        <w:t>ontains the following sub-precincts:</w:t>
      </w:r>
      <w:r w:rsidRPr="00453CC2">
        <w:rPr>
          <w:rFonts w:cs="Arial"/>
          <w:szCs w:val="20"/>
        </w:rPr>
        <w:t xml:space="preserve"> </w:t>
      </w:r>
    </w:p>
    <w:p w:rsidR="00A40895" w:rsidRPr="00537155" w:rsidRDefault="00A40895" w:rsidP="0069428D">
      <w:pPr>
        <w:numPr>
          <w:ilvl w:val="2"/>
          <w:numId w:val="52"/>
        </w:numPr>
        <w:spacing w:after="0"/>
        <w:rPr>
          <w:rFonts w:cs="Arial"/>
          <w:szCs w:val="20"/>
        </w:rPr>
      </w:pPr>
      <w:r w:rsidRPr="00537155">
        <w:rPr>
          <w:rFonts w:cs="Arial"/>
          <w:szCs w:val="20"/>
        </w:rPr>
        <w:t xml:space="preserve">Sub-precinct 1a- </w:t>
      </w:r>
      <w:r w:rsidR="00C11391">
        <w:rPr>
          <w:rFonts w:cs="Arial"/>
          <w:szCs w:val="20"/>
        </w:rPr>
        <w:t>Smithfield Shopping Centre</w:t>
      </w:r>
      <w:r w:rsidRPr="00537155">
        <w:rPr>
          <w:rFonts w:cs="Arial"/>
          <w:szCs w:val="20"/>
        </w:rPr>
        <w:t xml:space="preserve">; </w:t>
      </w:r>
    </w:p>
    <w:p w:rsidR="00A40895" w:rsidRPr="00537155" w:rsidRDefault="00A40895" w:rsidP="0069428D">
      <w:pPr>
        <w:numPr>
          <w:ilvl w:val="2"/>
          <w:numId w:val="52"/>
        </w:numPr>
        <w:spacing w:after="0"/>
        <w:rPr>
          <w:rFonts w:cs="Arial"/>
          <w:szCs w:val="20"/>
        </w:rPr>
      </w:pPr>
      <w:r>
        <w:rPr>
          <w:rFonts w:cs="Arial"/>
          <w:szCs w:val="20"/>
        </w:rPr>
        <w:t xml:space="preserve">Sub-precinct </w:t>
      </w:r>
      <w:r w:rsidR="00C11391">
        <w:rPr>
          <w:rFonts w:cs="Arial"/>
          <w:szCs w:val="20"/>
        </w:rPr>
        <w:t xml:space="preserve">1b </w:t>
      </w:r>
      <w:r>
        <w:rPr>
          <w:rFonts w:cs="Arial"/>
          <w:szCs w:val="20"/>
        </w:rPr>
        <w:t>– employment;</w:t>
      </w:r>
    </w:p>
    <w:p w:rsidR="00A40895" w:rsidRPr="00453CC2" w:rsidRDefault="00DF0AD4" w:rsidP="0069428D">
      <w:pPr>
        <w:numPr>
          <w:ilvl w:val="1"/>
          <w:numId w:val="52"/>
        </w:numPr>
        <w:spacing w:after="0"/>
        <w:rPr>
          <w:rFonts w:cs="Arial"/>
          <w:szCs w:val="20"/>
        </w:rPr>
      </w:pPr>
      <w:r>
        <w:rPr>
          <w:rFonts w:cs="Arial"/>
          <w:szCs w:val="20"/>
        </w:rPr>
        <w:t>t</w:t>
      </w:r>
      <w:r w:rsidR="00A40895" w:rsidRPr="00453CC2">
        <w:rPr>
          <w:rFonts w:cs="Arial"/>
          <w:szCs w:val="20"/>
        </w:rPr>
        <w:t xml:space="preserve">he </w:t>
      </w:r>
      <w:r w:rsidR="00C6431B">
        <w:rPr>
          <w:rFonts w:cs="Arial"/>
          <w:szCs w:val="20"/>
        </w:rPr>
        <w:t xml:space="preserve">Smithfield </w:t>
      </w:r>
      <w:r w:rsidR="004610D2">
        <w:rPr>
          <w:rFonts w:cs="Arial"/>
          <w:szCs w:val="20"/>
        </w:rPr>
        <w:t>M</w:t>
      </w:r>
      <w:r w:rsidR="00C6431B">
        <w:rPr>
          <w:rFonts w:cs="Arial"/>
          <w:szCs w:val="20"/>
        </w:rPr>
        <w:t xml:space="preserve">ajor centre </w:t>
      </w:r>
      <w:r w:rsidR="00A40895" w:rsidRPr="00453CC2">
        <w:rPr>
          <w:rFonts w:cs="Arial"/>
          <w:szCs w:val="20"/>
        </w:rPr>
        <w:t>represent</w:t>
      </w:r>
      <w:r w:rsidR="00C6431B">
        <w:rPr>
          <w:rFonts w:cs="Arial"/>
          <w:szCs w:val="20"/>
        </w:rPr>
        <w:t>s</w:t>
      </w:r>
      <w:r w:rsidR="00A40895" w:rsidRPr="00453CC2">
        <w:rPr>
          <w:rFonts w:cs="Arial"/>
          <w:szCs w:val="20"/>
        </w:rPr>
        <w:t xml:space="preserve"> the focus of employment and economic activity in the Cairns Northern Beaches;</w:t>
      </w:r>
    </w:p>
    <w:p w:rsidR="00A40895" w:rsidRPr="00453CC2" w:rsidRDefault="00A40895" w:rsidP="0069428D">
      <w:pPr>
        <w:numPr>
          <w:ilvl w:val="1"/>
          <w:numId w:val="52"/>
        </w:numPr>
        <w:spacing w:after="0"/>
        <w:rPr>
          <w:rFonts w:cs="Arial"/>
          <w:szCs w:val="20"/>
        </w:rPr>
      </w:pPr>
      <w:r w:rsidRPr="00453CC2">
        <w:rPr>
          <w:rFonts w:cs="Arial"/>
          <w:szCs w:val="20"/>
        </w:rPr>
        <w:t>Smithfield Shopping Centre is to remain the dominant retail centre for the Cairns Northern Beaches;</w:t>
      </w:r>
    </w:p>
    <w:p w:rsidR="00A40895" w:rsidRPr="00453CC2" w:rsidRDefault="00DF0AD4" w:rsidP="0069428D">
      <w:pPr>
        <w:numPr>
          <w:ilvl w:val="1"/>
          <w:numId w:val="52"/>
        </w:numPr>
        <w:spacing w:after="0"/>
        <w:rPr>
          <w:rFonts w:cs="Arial"/>
          <w:szCs w:val="20"/>
        </w:rPr>
      </w:pPr>
      <w:r>
        <w:rPr>
          <w:rFonts w:cs="Arial"/>
          <w:szCs w:val="20"/>
        </w:rPr>
        <w:t>t</w:t>
      </w:r>
      <w:r w:rsidR="00A40895" w:rsidRPr="00453CC2">
        <w:rPr>
          <w:rFonts w:cs="Arial"/>
          <w:szCs w:val="20"/>
        </w:rPr>
        <w:t>he use of existing car parking areas transitions to vertical structures</w:t>
      </w:r>
      <w:r w:rsidR="00A40895">
        <w:rPr>
          <w:rFonts w:cs="Arial"/>
          <w:szCs w:val="20"/>
        </w:rPr>
        <w:t xml:space="preserve"> and mixed uses</w:t>
      </w:r>
      <w:r w:rsidR="00A40895" w:rsidRPr="00453CC2">
        <w:rPr>
          <w:rFonts w:cs="Arial"/>
          <w:szCs w:val="20"/>
        </w:rPr>
        <w:t>, allowing more efficient use of space and lifting the pedestrian appeal of spaces adjacent and between the centre and activity areas;</w:t>
      </w:r>
    </w:p>
    <w:p w:rsidR="00A40895" w:rsidRPr="00453CC2" w:rsidRDefault="00DF0AD4" w:rsidP="0069428D">
      <w:pPr>
        <w:numPr>
          <w:ilvl w:val="1"/>
          <w:numId w:val="52"/>
        </w:numPr>
        <w:spacing w:after="0"/>
        <w:rPr>
          <w:rFonts w:cs="Arial"/>
          <w:szCs w:val="20"/>
        </w:rPr>
      </w:pPr>
      <w:r>
        <w:rPr>
          <w:rFonts w:cs="Arial"/>
          <w:szCs w:val="20"/>
        </w:rPr>
        <w:t>c</w:t>
      </w:r>
      <w:r w:rsidR="00A40895" w:rsidRPr="00453CC2">
        <w:rPr>
          <w:rFonts w:cs="Arial"/>
          <w:szCs w:val="20"/>
        </w:rPr>
        <w:t>onnection between the Smithfield Shopping Centre and adjoining communities is enhanced through built form, active design and infrastructure;</w:t>
      </w:r>
    </w:p>
    <w:p w:rsidR="00A40895" w:rsidRPr="00453CC2" w:rsidRDefault="0043346E" w:rsidP="0069428D">
      <w:pPr>
        <w:numPr>
          <w:ilvl w:val="1"/>
          <w:numId w:val="52"/>
        </w:numPr>
        <w:spacing w:after="0"/>
        <w:rPr>
          <w:rFonts w:cs="Arial"/>
          <w:szCs w:val="20"/>
        </w:rPr>
      </w:pPr>
      <w:r>
        <w:rPr>
          <w:rFonts w:cs="Arial"/>
          <w:szCs w:val="20"/>
        </w:rPr>
        <w:t xml:space="preserve">development in Precinct 1a - </w:t>
      </w:r>
      <w:r w:rsidR="00A40895" w:rsidRPr="00453CC2">
        <w:rPr>
          <w:rFonts w:cs="Arial"/>
          <w:szCs w:val="20"/>
        </w:rPr>
        <w:t xml:space="preserve">Smithfield Shopping Centre  </w:t>
      </w:r>
      <w:r w:rsidR="00BB5E93">
        <w:rPr>
          <w:rFonts w:cs="Arial"/>
          <w:szCs w:val="20"/>
        </w:rPr>
        <w:t xml:space="preserve">diversifies </w:t>
      </w:r>
      <w:r w:rsidR="00A40895" w:rsidRPr="00453CC2">
        <w:rPr>
          <w:rFonts w:cs="Arial"/>
          <w:szCs w:val="20"/>
        </w:rPr>
        <w:t>the activity function of the centre to facilitate the following outcomes</w:t>
      </w:r>
      <w:r w:rsidR="00BB5E93">
        <w:rPr>
          <w:rFonts w:cs="Arial"/>
          <w:szCs w:val="20"/>
        </w:rPr>
        <w:t xml:space="preserve"> over time</w:t>
      </w:r>
      <w:r w:rsidR="00A40895" w:rsidRPr="00453CC2">
        <w:rPr>
          <w:rFonts w:cs="Arial"/>
          <w:szCs w:val="20"/>
        </w:rPr>
        <w:t>:</w:t>
      </w:r>
    </w:p>
    <w:p w:rsidR="00A40895" w:rsidRPr="00BB5E93" w:rsidRDefault="00BB5E93" w:rsidP="0069428D">
      <w:pPr>
        <w:numPr>
          <w:ilvl w:val="2"/>
          <w:numId w:val="52"/>
        </w:numPr>
        <w:spacing w:after="0"/>
        <w:rPr>
          <w:rFonts w:cs="Arial"/>
          <w:szCs w:val="20"/>
        </w:rPr>
      </w:pPr>
      <w:r w:rsidRPr="00BB5E93">
        <w:rPr>
          <w:rFonts w:cs="Arial"/>
          <w:szCs w:val="20"/>
        </w:rPr>
        <w:t xml:space="preserve">predominantly retail and professional service focus with </w:t>
      </w:r>
      <w:r w:rsidR="00A40895" w:rsidRPr="00BB5E93">
        <w:rPr>
          <w:rFonts w:cs="Arial"/>
          <w:szCs w:val="20"/>
        </w:rPr>
        <w:t xml:space="preserve">professional businesses and services </w:t>
      </w:r>
      <w:r>
        <w:rPr>
          <w:rFonts w:cs="Arial"/>
          <w:szCs w:val="20"/>
        </w:rPr>
        <w:t xml:space="preserve">being located </w:t>
      </w:r>
      <w:r w:rsidR="00A40895" w:rsidRPr="00BB5E93">
        <w:rPr>
          <w:rFonts w:cs="Arial"/>
          <w:szCs w:val="20"/>
        </w:rPr>
        <w:t>within multi-storey buildings</w:t>
      </w:r>
      <w:r w:rsidR="005B188B" w:rsidRPr="00BB5E93">
        <w:rPr>
          <w:rFonts w:cs="Arial"/>
          <w:szCs w:val="20"/>
        </w:rPr>
        <w:t>;</w:t>
      </w:r>
    </w:p>
    <w:p w:rsidR="00A40895" w:rsidRPr="00453CC2" w:rsidRDefault="00A40895" w:rsidP="0069428D">
      <w:pPr>
        <w:numPr>
          <w:ilvl w:val="2"/>
          <w:numId w:val="52"/>
        </w:numPr>
        <w:spacing w:after="0"/>
        <w:rPr>
          <w:rFonts w:cs="Arial"/>
          <w:szCs w:val="20"/>
        </w:rPr>
      </w:pPr>
      <w:r w:rsidRPr="00453CC2">
        <w:rPr>
          <w:rFonts w:cs="Arial"/>
          <w:szCs w:val="20"/>
        </w:rPr>
        <w:t>entertainment, restaurants and night time activity establishes in a consolidated precinct, diversifying the appeal a</w:t>
      </w:r>
      <w:r w:rsidR="005B188B">
        <w:rPr>
          <w:rFonts w:cs="Arial"/>
          <w:szCs w:val="20"/>
        </w:rPr>
        <w:t>nd duration of the centre’s use</w:t>
      </w:r>
      <w:r w:rsidR="00BB5E93">
        <w:rPr>
          <w:rFonts w:cs="Arial"/>
          <w:szCs w:val="20"/>
        </w:rPr>
        <w:t xml:space="preserve"> and effectively </w:t>
      </w:r>
      <w:r w:rsidR="007B5435">
        <w:rPr>
          <w:rFonts w:cs="Arial"/>
          <w:szCs w:val="20"/>
        </w:rPr>
        <w:t>managing the impacts of noise and light</w:t>
      </w:r>
      <w:r w:rsidR="005B188B">
        <w:rPr>
          <w:rFonts w:cs="Arial"/>
          <w:szCs w:val="20"/>
        </w:rPr>
        <w:t>.</w:t>
      </w:r>
    </w:p>
    <w:p w:rsidR="00A40895" w:rsidRDefault="00DF0AD4" w:rsidP="0069428D">
      <w:pPr>
        <w:numPr>
          <w:ilvl w:val="1"/>
          <w:numId w:val="52"/>
        </w:numPr>
        <w:spacing w:after="0"/>
        <w:rPr>
          <w:rFonts w:cs="Arial"/>
          <w:szCs w:val="20"/>
        </w:rPr>
      </w:pPr>
      <w:r>
        <w:rPr>
          <w:rFonts w:cs="Arial"/>
          <w:szCs w:val="20"/>
        </w:rPr>
        <w:t>e</w:t>
      </w:r>
      <w:r w:rsidR="00A40895" w:rsidRPr="00453CC2">
        <w:rPr>
          <w:rFonts w:cs="Arial"/>
          <w:szCs w:val="20"/>
        </w:rPr>
        <w:t>xpansive open areas of car parking are minimised on employment land to the east of the Captain Cook Highway through more efficient building design and use of land</w:t>
      </w:r>
      <w:r w:rsidR="006179A4">
        <w:rPr>
          <w:rFonts w:cs="Arial"/>
          <w:szCs w:val="20"/>
        </w:rPr>
        <w:t>;</w:t>
      </w:r>
    </w:p>
    <w:p w:rsidR="00511BA1" w:rsidRPr="00511BA1" w:rsidRDefault="006179A4" w:rsidP="0069428D">
      <w:pPr>
        <w:numPr>
          <w:ilvl w:val="1"/>
          <w:numId w:val="52"/>
        </w:numPr>
        <w:spacing w:after="0"/>
        <w:rPr>
          <w:rFonts w:cs="Arial"/>
          <w:szCs w:val="20"/>
        </w:rPr>
      </w:pPr>
      <w:r>
        <w:rPr>
          <w:rFonts w:cs="Arial"/>
          <w:szCs w:val="20"/>
        </w:rPr>
        <w:t xml:space="preserve">the </w:t>
      </w:r>
      <w:r w:rsidR="00511BA1">
        <w:rPr>
          <w:rFonts w:cs="Arial"/>
          <w:szCs w:val="20"/>
        </w:rPr>
        <w:t>provision of a well-planned and high quality public transport station.</w:t>
      </w:r>
    </w:p>
    <w:p w:rsidR="00A40895" w:rsidRPr="00453CC2" w:rsidRDefault="00A40895" w:rsidP="0069428D">
      <w:pPr>
        <w:spacing w:after="0"/>
        <w:ind w:left="1134"/>
        <w:rPr>
          <w:rFonts w:cs="Arial"/>
          <w:szCs w:val="20"/>
        </w:rPr>
      </w:pPr>
    </w:p>
    <w:p w:rsidR="00A40895" w:rsidRPr="00036CBD" w:rsidRDefault="00A40895">
      <w:pPr>
        <w:spacing w:after="0"/>
        <w:rPr>
          <w:rFonts w:cs="Arial"/>
          <w:b/>
          <w:szCs w:val="20"/>
        </w:rPr>
      </w:pPr>
      <w:r w:rsidRPr="00036CBD">
        <w:rPr>
          <w:rFonts w:cs="Arial"/>
          <w:b/>
          <w:szCs w:val="20"/>
        </w:rPr>
        <w:t>Precinct 2 – James Cook University</w:t>
      </w:r>
    </w:p>
    <w:p w:rsidR="00EE5FEB" w:rsidRPr="00431B3F" w:rsidRDefault="00EE5FEB" w:rsidP="0069428D">
      <w:pPr>
        <w:numPr>
          <w:ilvl w:val="0"/>
          <w:numId w:val="5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_Ref394476392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7.2.8.3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A40895" w:rsidRPr="00453CC2" w:rsidRDefault="00DF0AD4" w:rsidP="0069428D">
      <w:pPr>
        <w:numPr>
          <w:ilvl w:val="1"/>
          <w:numId w:val="52"/>
        </w:numPr>
        <w:spacing w:after="0"/>
        <w:rPr>
          <w:rFonts w:cs="Arial"/>
          <w:szCs w:val="20"/>
        </w:rPr>
      </w:pPr>
      <w:r>
        <w:rPr>
          <w:rFonts w:cs="Arial"/>
          <w:szCs w:val="20"/>
        </w:rPr>
        <w:t>t</w:t>
      </w:r>
      <w:r w:rsidR="00A40895" w:rsidRPr="00453CC2">
        <w:rPr>
          <w:rFonts w:cs="Arial"/>
          <w:szCs w:val="20"/>
        </w:rPr>
        <w:t>ropical innovation and education development drives the expansion of the university and business attraction;</w:t>
      </w:r>
    </w:p>
    <w:p w:rsidR="00A40895" w:rsidRPr="00453CC2" w:rsidRDefault="00DF0AD4" w:rsidP="0069428D">
      <w:pPr>
        <w:numPr>
          <w:ilvl w:val="1"/>
          <w:numId w:val="52"/>
        </w:numPr>
        <w:spacing w:after="0"/>
        <w:rPr>
          <w:rFonts w:cs="Arial"/>
          <w:szCs w:val="20"/>
        </w:rPr>
      </w:pPr>
      <w:r>
        <w:rPr>
          <w:rFonts w:cs="Arial"/>
          <w:szCs w:val="20"/>
        </w:rPr>
        <w:lastRenderedPageBreak/>
        <w:t>i</w:t>
      </w:r>
      <w:r w:rsidR="00A40895" w:rsidRPr="00453CC2">
        <w:rPr>
          <w:rFonts w:cs="Arial"/>
          <w:szCs w:val="20"/>
        </w:rPr>
        <w:t>nfrastructure and land use align to ensure the university integrates and functions within the community and not as a standalone and isolated facility;</w:t>
      </w:r>
    </w:p>
    <w:p w:rsidR="00A40895" w:rsidRPr="00453CC2" w:rsidRDefault="00DF0AD4" w:rsidP="0069428D">
      <w:pPr>
        <w:numPr>
          <w:ilvl w:val="1"/>
          <w:numId w:val="52"/>
        </w:numPr>
        <w:spacing w:after="0"/>
        <w:rPr>
          <w:rFonts w:cs="Arial"/>
          <w:szCs w:val="20"/>
        </w:rPr>
      </w:pPr>
      <w:r>
        <w:rPr>
          <w:rFonts w:cs="Arial"/>
          <w:szCs w:val="20"/>
        </w:rPr>
        <w:t>o</w:t>
      </w:r>
      <w:r w:rsidR="00A40895" w:rsidRPr="00453CC2">
        <w:rPr>
          <w:rFonts w:cs="Arial"/>
          <w:szCs w:val="20"/>
        </w:rPr>
        <w:t xml:space="preserve">pportunities for professional businesses and services, small and fine scale retail and activity establishes adjacent </w:t>
      </w:r>
      <w:r w:rsidR="00A40895">
        <w:rPr>
          <w:rFonts w:cs="Arial"/>
          <w:szCs w:val="20"/>
        </w:rPr>
        <w:t xml:space="preserve">to </w:t>
      </w:r>
      <w:r w:rsidR="00A40895" w:rsidRPr="00453CC2">
        <w:rPr>
          <w:rFonts w:cs="Arial"/>
          <w:szCs w:val="20"/>
        </w:rPr>
        <w:t>McGregor Road;</w:t>
      </w:r>
    </w:p>
    <w:p w:rsidR="00A40895" w:rsidRPr="00453CC2" w:rsidRDefault="00DF0AD4" w:rsidP="0069428D">
      <w:pPr>
        <w:numPr>
          <w:ilvl w:val="1"/>
          <w:numId w:val="52"/>
        </w:numPr>
        <w:spacing w:after="0"/>
        <w:rPr>
          <w:rFonts w:cs="Arial"/>
          <w:szCs w:val="20"/>
        </w:rPr>
      </w:pPr>
      <w:r>
        <w:rPr>
          <w:rFonts w:cs="Arial"/>
          <w:szCs w:val="20"/>
        </w:rPr>
        <w:t>r</w:t>
      </w:r>
      <w:r w:rsidR="00A40895" w:rsidRPr="00453CC2">
        <w:rPr>
          <w:rFonts w:cs="Arial"/>
          <w:szCs w:val="20"/>
        </w:rPr>
        <w:t xml:space="preserve">esidential activities supporting the university and businesses </w:t>
      </w:r>
      <w:r w:rsidR="00A40895">
        <w:rPr>
          <w:rFonts w:cs="Arial"/>
          <w:szCs w:val="20"/>
        </w:rPr>
        <w:t>are</w:t>
      </w:r>
      <w:r w:rsidR="00A40895" w:rsidRPr="00453CC2">
        <w:rPr>
          <w:rFonts w:cs="Arial"/>
          <w:szCs w:val="20"/>
        </w:rPr>
        <w:t xml:space="preserve"> integrated within facilities as mixed-use living opportunities;</w:t>
      </w:r>
    </w:p>
    <w:p w:rsidR="00A40895" w:rsidRPr="00453CC2" w:rsidRDefault="00DF0AD4" w:rsidP="0069428D">
      <w:pPr>
        <w:numPr>
          <w:ilvl w:val="1"/>
          <w:numId w:val="52"/>
        </w:numPr>
        <w:spacing w:after="0"/>
        <w:rPr>
          <w:rFonts w:cs="Arial"/>
          <w:szCs w:val="20"/>
        </w:rPr>
      </w:pPr>
      <w:r>
        <w:rPr>
          <w:rFonts w:cs="Arial"/>
          <w:szCs w:val="20"/>
        </w:rPr>
        <w:t>l</w:t>
      </w:r>
      <w:r w:rsidR="00A40895" w:rsidRPr="00453CC2">
        <w:rPr>
          <w:rFonts w:cs="Arial"/>
          <w:szCs w:val="20"/>
        </w:rPr>
        <w:t xml:space="preserve">and uses, particularly </w:t>
      </w:r>
      <w:r w:rsidR="00A40895">
        <w:rPr>
          <w:rFonts w:cs="Arial"/>
          <w:szCs w:val="20"/>
        </w:rPr>
        <w:t>residential</w:t>
      </w:r>
      <w:r w:rsidR="00A40895" w:rsidRPr="00453CC2">
        <w:rPr>
          <w:rFonts w:cs="Arial"/>
          <w:szCs w:val="20"/>
        </w:rPr>
        <w:t xml:space="preserve"> </w:t>
      </w:r>
      <w:r w:rsidR="00A40895">
        <w:rPr>
          <w:rFonts w:cs="Arial"/>
          <w:szCs w:val="20"/>
        </w:rPr>
        <w:t xml:space="preserve">activities </w:t>
      </w:r>
      <w:r w:rsidR="00A40895" w:rsidRPr="00453CC2">
        <w:rPr>
          <w:rFonts w:cs="Arial"/>
          <w:szCs w:val="20"/>
        </w:rPr>
        <w:t>and community supporting infrastructure, establish adjacent to transport infrastructure;</w:t>
      </w:r>
    </w:p>
    <w:p w:rsidR="00A40895" w:rsidRPr="00453CC2" w:rsidRDefault="00DF0AD4" w:rsidP="0069428D">
      <w:pPr>
        <w:numPr>
          <w:ilvl w:val="1"/>
          <w:numId w:val="52"/>
        </w:numPr>
        <w:spacing w:after="0"/>
        <w:rPr>
          <w:rFonts w:cs="Arial"/>
          <w:szCs w:val="20"/>
        </w:rPr>
      </w:pPr>
      <w:r>
        <w:rPr>
          <w:rFonts w:cs="Arial"/>
          <w:szCs w:val="20"/>
        </w:rPr>
        <w:t>t</w:t>
      </w:r>
      <w:r w:rsidR="00A40895" w:rsidRPr="00453CC2">
        <w:rPr>
          <w:rFonts w:cs="Arial"/>
          <w:szCs w:val="20"/>
        </w:rPr>
        <w:t xml:space="preserve">echnology, innovative industry and employment establishes, having a mix of </w:t>
      </w:r>
      <w:r w:rsidR="00A40895">
        <w:rPr>
          <w:rFonts w:cs="Arial"/>
          <w:szCs w:val="20"/>
        </w:rPr>
        <w:t>smaller and larger</w:t>
      </w:r>
      <w:r w:rsidR="00A40895" w:rsidRPr="00453CC2">
        <w:rPr>
          <w:rFonts w:cs="Arial"/>
          <w:szCs w:val="20"/>
        </w:rPr>
        <w:t xml:space="preserve"> building footprints;</w:t>
      </w:r>
    </w:p>
    <w:p w:rsidR="00A40895" w:rsidRPr="00453CC2" w:rsidRDefault="00DF0AD4" w:rsidP="0069428D">
      <w:pPr>
        <w:numPr>
          <w:ilvl w:val="1"/>
          <w:numId w:val="52"/>
        </w:numPr>
        <w:spacing w:after="0"/>
        <w:rPr>
          <w:rFonts w:cs="Arial"/>
          <w:szCs w:val="20"/>
        </w:rPr>
      </w:pPr>
      <w:r>
        <w:rPr>
          <w:rFonts w:cs="Arial"/>
          <w:szCs w:val="20"/>
        </w:rPr>
        <w:t>o</w:t>
      </w:r>
      <w:r w:rsidR="00A40895" w:rsidRPr="00453CC2">
        <w:rPr>
          <w:rFonts w:cs="Arial"/>
          <w:szCs w:val="20"/>
        </w:rPr>
        <w:t>pportunity for major community infrastructure exists at the gateway site between the Captain Cook Highway and the existing university facilities;</w:t>
      </w:r>
    </w:p>
    <w:p w:rsidR="00511BA1" w:rsidRDefault="00DF0AD4" w:rsidP="0069428D">
      <w:pPr>
        <w:numPr>
          <w:ilvl w:val="1"/>
          <w:numId w:val="52"/>
        </w:numPr>
        <w:spacing w:after="0"/>
        <w:rPr>
          <w:rFonts w:cs="Arial"/>
          <w:szCs w:val="20"/>
        </w:rPr>
      </w:pPr>
      <w:r>
        <w:rPr>
          <w:rFonts w:cs="Arial"/>
          <w:szCs w:val="20"/>
        </w:rPr>
        <w:t>t</w:t>
      </w:r>
      <w:r w:rsidR="00A40895" w:rsidRPr="00453CC2">
        <w:rPr>
          <w:rFonts w:cs="Arial"/>
          <w:szCs w:val="20"/>
        </w:rPr>
        <w:t xml:space="preserve">he Smithfield Campus Shopping Village to the east of the Captain Cook Highway has opportunity for </w:t>
      </w:r>
      <w:r w:rsidR="00A40895">
        <w:rPr>
          <w:rFonts w:cs="Arial"/>
          <w:szCs w:val="20"/>
        </w:rPr>
        <w:t>redevelopment</w:t>
      </w:r>
      <w:r w:rsidR="00A40895" w:rsidRPr="00453CC2">
        <w:rPr>
          <w:rFonts w:cs="Arial"/>
          <w:szCs w:val="20"/>
        </w:rPr>
        <w:t xml:space="preserve"> and </w:t>
      </w:r>
      <w:r w:rsidR="00A40895">
        <w:rPr>
          <w:rFonts w:cs="Arial"/>
          <w:szCs w:val="20"/>
        </w:rPr>
        <w:t xml:space="preserve">to </w:t>
      </w:r>
      <w:r w:rsidR="00A40895" w:rsidRPr="00453CC2">
        <w:rPr>
          <w:rFonts w:cs="Arial"/>
          <w:szCs w:val="20"/>
        </w:rPr>
        <w:t>establish a mix</w:t>
      </w:r>
      <w:r w:rsidR="00A40895">
        <w:rPr>
          <w:rFonts w:cs="Arial"/>
          <w:szCs w:val="20"/>
        </w:rPr>
        <w:t xml:space="preserve"> of business, entertainment and</w:t>
      </w:r>
      <w:r w:rsidR="00A40895" w:rsidRPr="00453CC2">
        <w:rPr>
          <w:rFonts w:cs="Arial"/>
          <w:szCs w:val="20"/>
        </w:rPr>
        <w:t xml:space="preserve"> accommodation activiti</w:t>
      </w:r>
      <w:r w:rsidR="00EA355A">
        <w:rPr>
          <w:rFonts w:cs="Arial"/>
          <w:szCs w:val="20"/>
        </w:rPr>
        <w:t>es in multi-storey developments</w:t>
      </w:r>
      <w:r w:rsidR="006179A4">
        <w:rPr>
          <w:rFonts w:cs="Arial"/>
          <w:szCs w:val="20"/>
        </w:rPr>
        <w:t>;</w:t>
      </w:r>
    </w:p>
    <w:p w:rsidR="00A40895" w:rsidRPr="00511BA1" w:rsidRDefault="00511BA1" w:rsidP="0069428D">
      <w:pPr>
        <w:numPr>
          <w:ilvl w:val="1"/>
          <w:numId w:val="52"/>
        </w:numPr>
        <w:spacing w:after="0"/>
        <w:rPr>
          <w:rFonts w:cs="Arial"/>
          <w:szCs w:val="20"/>
        </w:rPr>
      </w:pPr>
      <w:r>
        <w:rPr>
          <w:rFonts w:cs="Arial"/>
          <w:szCs w:val="20"/>
        </w:rPr>
        <w:t>the provision of a well-planned and high quality public transport station</w:t>
      </w:r>
      <w:r w:rsidR="00EA355A" w:rsidRPr="00511BA1">
        <w:rPr>
          <w:rFonts w:cs="Arial"/>
          <w:szCs w:val="20"/>
        </w:rPr>
        <w:t>.</w:t>
      </w:r>
    </w:p>
    <w:p w:rsidR="00590463" w:rsidRDefault="00590463">
      <w:pPr>
        <w:spacing w:after="0"/>
        <w:rPr>
          <w:rFonts w:cs="Arial"/>
          <w:b/>
          <w:szCs w:val="20"/>
        </w:rPr>
      </w:pPr>
    </w:p>
    <w:p w:rsidR="00A40895" w:rsidRPr="00036CBD" w:rsidRDefault="00A40895">
      <w:pPr>
        <w:spacing w:after="0"/>
        <w:rPr>
          <w:rFonts w:cs="Arial"/>
          <w:b/>
          <w:szCs w:val="20"/>
        </w:rPr>
      </w:pPr>
      <w:r w:rsidRPr="00036CBD">
        <w:rPr>
          <w:rFonts w:cs="Arial"/>
          <w:b/>
          <w:szCs w:val="20"/>
        </w:rPr>
        <w:t xml:space="preserve">Precinct 3 </w:t>
      </w:r>
      <w:r w:rsidR="00546FA7">
        <w:rPr>
          <w:rFonts w:cs="Arial"/>
          <w:b/>
          <w:szCs w:val="20"/>
        </w:rPr>
        <w:t>–</w:t>
      </w:r>
      <w:r w:rsidRPr="00036CBD">
        <w:rPr>
          <w:rFonts w:cs="Arial"/>
          <w:b/>
          <w:szCs w:val="20"/>
        </w:rPr>
        <w:t xml:space="preserve"> </w:t>
      </w:r>
      <w:r w:rsidR="00546FA7">
        <w:rPr>
          <w:rFonts w:cs="Arial"/>
          <w:b/>
          <w:szCs w:val="20"/>
        </w:rPr>
        <w:t>Future e</w:t>
      </w:r>
      <w:r w:rsidRPr="00036CBD">
        <w:rPr>
          <w:rFonts w:cs="Arial"/>
          <w:b/>
          <w:szCs w:val="20"/>
        </w:rPr>
        <w:t>mployment</w:t>
      </w:r>
    </w:p>
    <w:p w:rsidR="00EE5FEB" w:rsidRPr="00431B3F" w:rsidRDefault="00EE5FEB" w:rsidP="0069428D">
      <w:pPr>
        <w:numPr>
          <w:ilvl w:val="0"/>
          <w:numId w:val="5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_Ref394476392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7.2.8.3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A40895" w:rsidRPr="00453CC2" w:rsidRDefault="00DF0AD4" w:rsidP="0069428D">
      <w:pPr>
        <w:numPr>
          <w:ilvl w:val="1"/>
          <w:numId w:val="52"/>
        </w:numPr>
        <w:spacing w:after="0"/>
        <w:rPr>
          <w:rFonts w:cs="Arial"/>
          <w:szCs w:val="20"/>
        </w:rPr>
      </w:pPr>
      <w:r>
        <w:rPr>
          <w:rFonts w:cs="Arial"/>
          <w:szCs w:val="20"/>
        </w:rPr>
        <w:t>d</w:t>
      </w:r>
      <w:r w:rsidR="00A40895" w:rsidRPr="00453CC2">
        <w:rPr>
          <w:rFonts w:cs="Arial"/>
          <w:szCs w:val="20"/>
        </w:rPr>
        <w:t xml:space="preserve">evelopment is predominantly for professional commercial or industrial uses in the </w:t>
      </w:r>
      <w:r w:rsidR="00546FA7">
        <w:rPr>
          <w:rFonts w:cs="Arial"/>
          <w:szCs w:val="20"/>
        </w:rPr>
        <w:t>p</w:t>
      </w:r>
      <w:r w:rsidR="00A40895" w:rsidRPr="00453CC2">
        <w:rPr>
          <w:rFonts w:cs="Arial"/>
          <w:szCs w:val="20"/>
        </w:rPr>
        <w:t>recinct;</w:t>
      </w:r>
    </w:p>
    <w:p w:rsidR="00A40895" w:rsidRPr="00453CC2" w:rsidRDefault="00DF0AD4" w:rsidP="0069428D">
      <w:pPr>
        <w:numPr>
          <w:ilvl w:val="1"/>
          <w:numId w:val="52"/>
        </w:numPr>
        <w:spacing w:after="0"/>
        <w:rPr>
          <w:rFonts w:cs="Arial"/>
          <w:szCs w:val="20"/>
        </w:rPr>
      </w:pPr>
      <w:r>
        <w:rPr>
          <w:rFonts w:cs="Arial"/>
          <w:szCs w:val="20"/>
        </w:rPr>
        <w:t>a</w:t>
      </w:r>
      <w:r w:rsidR="00A40895" w:rsidRPr="00453CC2">
        <w:rPr>
          <w:rFonts w:cs="Arial"/>
          <w:szCs w:val="20"/>
        </w:rPr>
        <w:t xml:space="preserve"> mix of retail, professional business, innovative and technology industries establishes in a finer grain model of development;</w:t>
      </w:r>
    </w:p>
    <w:p w:rsidR="00C11391" w:rsidRDefault="00DF0AD4" w:rsidP="0069428D">
      <w:pPr>
        <w:numPr>
          <w:ilvl w:val="1"/>
          <w:numId w:val="52"/>
        </w:numPr>
        <w:spacing w:after="0"/>
        <w:rPr>
          <w:rFonts w:cs="Arial"/>
          <w:szCs w:val="20"/>
        </w:rPr>
      </w:pPr>
      <w:r>
        <w:rPr>
          <w:rFonts w:cs="Arial"/>
          <w:szCs w:val="20"/>
        </w:rPr>
        <w:t>e</w:t>
      </w:r>
      <w:r w:rsidR="00A40895" w:rsidRPr="00453CC2">
        <w:rPr>
          <w:rFonts w:cs="Arial"/>
          <w:szCs w:val="20"/>
        </w:rPr>
        <w:t>xisting mixed business and industry land transitions to professional business and service industries, aligning with the research and expertise devel</w:t>
      </w:r>
      <w:r w:rsidR="00EA355A">
        <w:rPr>
          <w:rFonts w:cs="Arial"/>
          <w:szCs w:val="20"/>
        </w:rPr>
        <w:t>opment of James Cook University</w:t>
      </w:r>
      <w:r w:rsidR="00C11391">
        <w:rPr>
          <w:rFonts w:cs="Arial"/>
          <w:szCs w:val="20"/>
        </w:rPr>
        <w:t>;</w:t>
      </w:r>
    </w:p>
    <w:p w:rsidR="00C11391" w:rsidRDefault="00C11391" w:rsidP="0069428D">
      <w:pPr>
        <w:numPr>
          <w:ilvl w:val="1"/>
          <w:numId w:val="52"/>
        </w:numPr>
        <w:spacing w:after="0"/>
        <w:rPr>
          <w:rFonts w:cs="Arial"/>
          <w:szCs w:val="20"/>
        </w:rPr>
      </w:pPr>
      <w:r>
        <w:rPr>
          <w:rFonts w:cs="Arial"/>
          <w:szCs w:val="20"/>
        </w:rPr>
        <w:t xml:space="preserve">Precinct 3 – </w:t>
      </w:r>
      <w:r w:rsidR="00546FA7">
        <w:rPr>
          <w:rFonts w:cs="Arial"/>
          <w:szCs w:val="20"/>
        </w:rPr>
        <w:t>Future e</w:t>
      </w:r>
      <w:r>
        <w:rPr>
          <w:rFonts w:cs="Arial"/>
          <w:szCs w:val="20"/>
        </w:rPr>
        <w:t>mployment contains the following sub-precinct</w:t>
      </w:r>
      <w:r w:rsidR="00F472E8">
        <w:rPr>
          <w:rFonts w:cs="Arial"/>
          <w:szCs w:val="20"/>
        </w:rPr>
        <w:t>s</w:t>
      </w:r>
      <w:r>
        <w:rPr>
          <w:rFonts w:cs="Arial"/>
          <w:szCs w:val="20"/>
        </w:rPr>
        <w:t>:</w:t>
      </w:r>
      <w:r w:rsidRPr="00453CC2">
        <w:rPr>
          <w:rFonts w:cs="Arial"/>
          <w:szCs w:val="20"/>
        </w:rPr>
        <w:t xml:space="preserve"> </w:t>
      </w:r>
    </w:p>
    <w:p w:rsidR="00192D7C" w:rsidRDefault="00C11391" w:rsidP="0069428D">
      <w:pPr>
        <w:tabs>
          <w:tab w:val="left" w:pos="1701"/>
        </w:tabs>
        <w:spacing w:after="0"/>
        <w:ind w:left="1701" w:hanging="567"/>
        <w:rPr>
          <w:rFonts w:cs="Arial"/>
          <w:szCs w:val="20"/>
        </w:rPr>
      </w:pPr>
      <w:r w:rsidRPr="00192D7C">
        <w:rPr>
          <w:rFonts w:cs="Arial"/>
          <w:szCs w:val="20"/>
        </w:rPr>
        <w:t>(</w:t>
      </w:r>
      <w:proofErr w:type="spellStart"/>
      <w:r w:rsidRPr="00192D7C">
        <w:rPr>
          <w:rFonts w:cs="Arial"/>
          <w:szCs w:val="20"/>
        </w:rPr>
        <w:t>i</w:t>
      </w:r>
      <w:proofErr w:type="spellEnd"/>
      <w:r w:rsidRPr="00192D7C">
        <w:rPr>
          <w:rFonts w:cs="Arial"/>
          <w:szCs w:val="20"/>
        </w:rPr>
        <w:t>)</w:t>
      </w:r>
      <w:r w:rsidRPr="00192D7C">
        <w:rPr>
          <w:rFonts w:cs="Arial"/>
          <w:szCs w:val="20"/>
        </w:rPr>
        <w:tab/>
        <w:t>Sub-precinct 3a – Future mixed use area</w:t>
      </w:r>
    </w:p>
    <w:p w:rsidR="00F472E8" w:rsidRPr="00202833" w:rsidRDefault="00F472E8" w:rsidP="0069428D">
      <w:pPr>
        <w:tabs>
          <w:tab w:val="left" w:pos="1701"/>
        </w:tabs>
        <w:spacing w:after="0"/>
        <w:ind w:left="1701" w:hanging="567"/>
        <w:rPr>
          <w:rFonts w:cs="Arial"/>
          <w:szCs w:val="20"/>
        </w:rPr>
      </w:pPr>
      <w:r>
        <w:rPr>
          <w:rFonts w:cs="Arial"/>
          <w:szCs w:val="20"/>
        </w:rPr>
        <w:t>(ii)</w:t>
      </w:r>
      <w:r>
        <w:rPr>
          <w:rFonts w:cs="Arial"/>
          <w:szCs w:val="20"/>
        </w:rPr>
        <w:tab/>
        <w:t>Sub-precinct 3b –</w:t>
      </w:r>
      <w:r w:rsidRPr="00202833">
        <w:rPr>
          <w:rFonts w:ascii="Arial" w:eastAsia="Times New Roman" w:hAnsi="Arial" w:cs="Times New Roman"/>
          <w:iCs/>
        </w:rPr>
        <w:t xml:space="preserve">Future retail and </w:t>
      </w:r>
      <w:r w:rsidR="003F0BD8" w:rsidRPr="00202833">
        <w:rPr>
          <w:rFonts w:ascii="Arial" w:eastAsia="Times New Roman" w:hAnsi="Arial" w:cs="Times New Roman"/>
          <w:iCs/>
        </w:rPr>
        <w:t>commercial</w:t>
      </w:r>
      <w:r w:rsidRPr="00202833">
        <w:rPr>
          <w:rFonts w:ascii="Arial" w:eastAsia="Times New Roman" w:hAnsi="Arial" w:cs="Times New Roman"/>
          <w:iCs/>
        </w:rPr>
        <w:t xml:space="preserve"> area;</w:t>
      </w:r>
    </w:p>
    <w:p w:rsidR="00C11391" w:rsidRPr="00202833" w:rsidRDefault="00C11391" w:rsidP="0069428D">
      <w:pPr>
        <w:numPr>
          <w:ilvl w:val="1"/>
          <w:numId w:val="52"/>
        </w:numPr>
        <w:spacing w:after="0"/>
        <w:rPr>
          <w:rFonts w:cs="Arial"/>
          <w:szCs w:val="20"/>
        </w:rPr>
      </w:pPr>
      <w:r w:rsidRPr="00202833">
        <w:rPr>
          <w:rFonts w:cs="Arial"/>
          <w:szCs w:val="20"/>
        </w:rPr>
        <w:t>Development in Sub-precinct 3a – Future mixed use area:</w:t>
      </w:r>
    </w:p>
    <w:p w:rsidR="00C11391" w:rsidRPr="00202833" w:rsidRDefault="00C11391" w:rsidP="0069428D">
      <w:pPr>
        <w:pStyle w:val="ListParagraph"/>
        <w:numPr>
          <w:ilvl w:val="2"/>
          <w:numId w:val="52"/>
        </w:numPr>
        <w:spacing w:after="0"/>
        <w:rPr>
          <w:rFonts w:cs="Arial"/>
          <w:szCs w:val="20"/>
        </w:rPr>
      </w:pPr>
      <w:r w:rsidRPr="00202833">
        <w:rPr>
          <w:rFonts w:cs="Arial"/>
          <w:szCs w:val="20"/>
        </w:rPr>
        <w:t xml:space="preserve">establishes a structure plan </w:t>
      </w:r>
      <w:r w:rsidR="00192D7C" w:rsidRPr="00202833">
        <w:rPr>
          <w:rFonts w:cs="Arial"/>
          <w:szCs w:val="20"/>
        </w:rPr>
        <w:t>allowing f</w:t>
      </w:r>
      <w:r w:rsidRPr="00202833">
        <w:rPr>
          <w:rFonts w:cs="Arial"/>
          <w:szCs w:val="20"/>
        </w:rPr>
        <w:t xml:space="preserve">or a mix of uses, </w:t>
      </w:r>
      <w:r w:rsidR="00192D7C" w:rsidRPr="00202833">
        <w:rPr>
          <w:rFonts w:cs="Arial"/>
          <w:szCs w:val="20"/>
        </w:rPr>
        <w:t>focussed on</w:t>
      </w:r>
      <w:r w:rsidRPr="00202833">
        <w:rPr>
          <w:rFonts w:cs="Arial"/>
          <w:szCs w:val="20"/>
        </w:rPr>
        <w:t xml:space="preserve"> a range of low</w:t>
      </w:r>
      <w:r w:rsidR="006B668F" w:rsidRPr="00202833">
        <w:rPr>
          <w:rFonts w:cs="Arial"/>
          <w:szCs w:val="20"/>
        </w:rPr>
        <w:t xml:space="preserve"> impact</w:t>
      </w:r>
      <w:r w:rsidRPr="00202833">
        <w:rPr>
          <w:rFonts w:cs="Arial"/>
          <w:szCs w:val="20"/>
        </w:rPr>
        <w:t xml:space="preserve"> industry and </w:t>
      </w:r>
      <w:r w:rsidR="006B668F" w:rsidRPr="00202833">
        <w:rPr>
          <w:rFonts w:cs="Arial"/>
          <w:szCs w:val="20"/>
        </w:rPr>
        <w:t xml:space="preserve">centre </w:t>
      </w:r>
      <w:r w:rsidRPr="00202833">
        <w:rPr>
          <w:rFonts w:cs="Arial"/>
          <w:szCs w:val="20"/>
        </w:rPr>
        <w:t xml:space="preserve">activities </w:t>
      </w:r>
      <w:r w:rsidR="0043346E" w:rsidRPr="00202833">
        <w:rPr>
          <w:rFonts w:cs="Arial"/>
          <w:szCs w:val="20"/>
        </w:rPr>
        <w:t>along with</w:t>
      </w:r>
      <w:r w:rsidRPr="00202833">
        <w:rPr>
          <w:rFonts w:cs="Arial"/>
          <w:szCs w:val="20"/>
        </w:rPr>
        <w:t xml:space="preserve"> a </w:t>
      </w:r>
      <w:r w:rsidR="00192D7C" w:rsidRPr="00202833">
        <w:rPr>
          <w:rFonts w:cs="Arial"/>
          <w:szCs w:val="20"/>
        </w:rPr>
        <w:t xml:space="preserve">range of </w:t>
      </w:r>
      <w:r w:rsidRPr="00202833">
        <w:rPr>
          <w:rFonts w:cs="Arial"/>
          <w:szCs w:val="20"/>
        </w:rPr>
        <w:t>residential housing opportunities</w:t>
      </w:r>
      <w:r w:rsidR="0043346E" w:rsidRPr="00202833">
        <w:rPr>
          <w:rFonts w:cs="Arial"/>
          <w:szCs w:val="20"/>
        </w:rPr>
        <w:t xml:space="preserve"> and mixed use developments</w:t>
      </w:r>
      <w:r w:rsidRPr="00202833">
        <w:rPr>
          <w:rFonts w:cs="Arial"/>
          <w:szCs w:val="20"/>
        </w:rPr>
        <w:t>;</w:t>
      </w:r>
    </w:p>
    <w:p w:rsidR="00C11391" w:rsidRPr="00202833" w:rsidRDefault="00C11391" w:rsidP="0069428D">
      <w:pPr>
        <w:pStyle w:val="ListParagraph"/>
        <w:numPr>
          <w:ilvl w:val="2"/>
          <w:numId w:val="52"/>
        </w:numPr>
        <w:spacing w:after="0"/>
        <w:rPr>
          <w:rFonts w:cs="Arial"/>
          <w:szCs w:val="20"/>
        </w:rPr>
      </w:pPr>
      <w:r w:rsidRPr="00202833">
        <w:rPr>
          <w:rFonts w:cs="Arial"/>
          <w:szCs w:val="20"/>
        </w:rPr>
        <w:t xml:space="preserve">ensures </w:t>
      </w:r>
      <w:r w:rsidR="00192D7C" w:rsidRPr="00202833">
        <w:rPr>
          <w:rFonts w:cs="Arial"/>
          <w:szCs w:val="20"/>
        </w:rPr>
        <w:t xml:space="preserve">the </w:t>
      </w:r>
      <w:r w:rsidRPr="00202833">
        <w:rPr>
          <w:rFonts w:cs="Arial"/>
          <w:szCs w:val="20"/>
        </w:rPr>
        <w:t xml:space="preserve">transition of </w:t>
      </w:r>
      <w:r w:rsidR="00192D7C" w:rsidRPr="00202833">
        <w:rPr>
          <w:rFonts w:cs="Arial"/>
          <w:szCs w:val="20"/>
        </w:rPr>
        <w:t xml:space="preserve">impacts and </w:t>
      </w:r>
      <w:r w:rsidRPr="00202833">
        <w:rPr>
          <w:rFonts w:cs="Arial"/>
          <w:szCs w:val="20"/>
        </w:rPr>
        <w:t>uses from the adjacent employment areas to the residential land to the east, considering the impact of infrastructure to be established in the area in line with growth demands.</w:t>
      </w:r>
    </w:p>
    <w:p w:rsidR="00F472E8" w:rsidRPr="00B81A0D" w:rsidRDefault="00F472E8" w:rsidP="00B81A0D">
      <w:pPr>
        <w:pStyle w:val="ListParagraph"/>
        <w:numPr>
          <w:ilvl w:val="1"/>
          <w:numId w:val="52"/>
        </w:numPr>
        <w:spacing w:after="0"/>
        <w:rPr>
          <w:rFonts w:cs="Arial"/>
          <w:szCs w:val="20"/>
        </w:rPr>
      </w:pPr>
      <w:r w:rsidRPr="00202833">
        <w:rPr>
          <w:rFonts w:cs="Arial"/>
          <w:szCs w:val="20"/>
        </w:rPr>
        <w:t>Development in Sub-precinct 3b –</w:t>
      </w:r>
      <w:r w:rsidRPr="00202833">
        <w:rPr>
          <w:rFonts w:ascii="Arial" w:eastAsia="Times New Roman" w:hAnsi="Arial" w:cs="Times New Roman"/>
          <w:iCs/>
        </w:rPr>
        <w:t xml:space="preserve">Future retail and </w:t>
      </w:r>
      <w:r w:rsidR="003F0BD8" w:rsidRPr="00202833">
        <w:rPr>
          <w:rFonts w:ascii="Arial" w:eastAsia="Times New Roman" w:hAnsi="Arial" w:cs="Times New Roman"/>
          <w:iCs/>
        </w:rPr>
        <w:t>commercial</w:t>
      </w:r>
      <w:r w:rsidRPr="00202833">
        <w:rPr>
          <w:rFonts w:ascii="Arial" w:eastAsia="Times New Roman" w:hAnsi="Arial" w:cs="Times New Roman"/>
          <w:iCs/>
        </w:rPr>
        <w:t xml:space="preserve"> area:</w:t>
      </w:r>
    </w:p>
    <w:p w:rsidR="00F472E8" w:rsidRPr="0043346E" w:rsidRDefault="00F472E8" w:rsidP="00F472E8">
      <w:pPr>
        <w:pStyle w:val="ListParagraph"/>
        <w:numPr>
          <w:ilvl w:val="2"/>
          <w:numId w:val="52"/>
        </w:numPr>
        <w:spacing w:after="0"/>
        <w:rPr>
          <w:rFonts w:cs="Arial"/>
          <w:szCs w:val="20"/>
        </w:rPr>
      </w:pPr>
      <w:r w:rsidRPr="0043346E">
        <w:rPr>
          <w:rFonts w:cs="Arial"/>
          <w:szCs w:val="20"/>
        </w:rPr>
        <w:t xml:space="preserve">establishes a structure plan </w:t>
      </w:r>
      <w:r>
        <w:rPr>
          <w:rFonts w:cs="Arial"/>
          <w:szCs w:val="20"/>
        </w:rPr>
        <w:t>allowing f</w:t>
      </w:r>
      <w:r w:rsidRPr="0043346E">
        <w:rPr>
          <w:rFonts w:cs="Arial"/>
          <w:szCs w:val="20"/>
        </w:rPr>
        <w:t xml:space="preserve">or a mix of uses, </w:t>
      </w:r>
      <w:r>
        <w:rPr>
          <w:rFonts w:cs="Arial"/>
          <w:szCs w:val="20"/>
        </w:rPr>
        <w:t>focussed on</w:t>
      </w:r>
      <w:r w:rsidRPr="0043346E">
        <w:rPr>
          <w:rFonts w:cs="Arial"/>
          <w:szCs w:val="20"/>
        </w:rPr>
        <w:t xml:space="preserve"> </w:t>
      </w:r>
      <w:r w:rsidR="006B668F">
        <w:rPr>
          <w:rFonts w:cs="Arial"/>
          <w:szCs w:val="20"/>
        </w:rPr>
        <w:t xml:space="preserve">centre </w:t>
      </w:r>
      <w:r w:rsidRPr="0043346E">
        <w:rPr>
          <w:rFonts w:cs="Arial"/>
          <w:szCs w:val="20"/>
        </w:rPr>
        <w:t xml:space="preserve">activities </w:t>
      </w:r>
      <w:r>
        <w:rPr>
          <w:rFonts w:cs="Arial"/>
          <w:szCs w:val="20"/>
        </w:rPr>
        <w:t>and mixed use developments</w:t>
      </w:r>
      <w:r w:rsidRPr="0043346E">
        <w:rPr>
          <w:rFonts w:cs="Arial"/>
          <w:szCs w:val="20"/>
        </w:rPr>
        <w:t>;</w:t>
      </w:r>
    </w:p>
    <w:p w:rsidR="00F472E8" w:rsidRDefault="00F472E8" w:rsidP="00F472E8">
      <w:pPr>
        <w:pStyle w:val="ListParagraph"/>
        <w:numPr>
          <w:ilvl w:val="2"/>
          <w:numId w:val="52"/>
        </w:numPr>
        <w:spacing w:after="0"/>
        <w:rPr>
          <w:rFonts w:cs="Arial"/>
          <w:szCs w:val="20"/>
        </w:rPr>
      </w:pPr>
      <w:r w:rsidRPr="0043346E">
        <w:rPr>
          <w:rFonts w:cs="Arial"/>
          <w:szCs w:val="20"/>
        </w:rPr>
        <w:t xml:space="preserve">ensures </w:t>
      </w:r>
      <w:r>
        <w:rPr>
          <w:rFonts w:cs="Arial"/>
          <w:szCs w:val="20"/>
        </w:rPr>
        <w:t xml:space="preserve">the </w:t>
      </w:r>
      <w:r w:rsidRPr="0043346E">
        <w:rPr>
          <w:rFonts w:cs="Arial"/>
          <w:szCs w:val="20"/>
        </w:rPr>
        <w:t xml:space="preserve">transition of </w:t>
      </w:r>
      <w:r>
        <w:rPr>
          <w:rFonts w:cs="Arial"/>
          <w:szCs w:val="20"/>
        </w:rPr>
        <w:t xml:space="preserve">impacts and </w:t>
      </w:r>
      <w:r w:rsidRPr="0043346E">
        <w:rPr>
          <w:rFonts w:cs="Arial"/>
          <w:szCs w:val="20"/>
        </w:rPr>
        <w:t xml:space="preserve">uses from the adjacent employment areas to the residential land to the east, considering the impact of infrastructure to be established in the </w:t>
      </w:r>
      <w:r w:rsidRPr="006B528B">
        <w:rPr>
          <w:rFonts w:cs="Arial"/>
          <w:szCs w:val="20"/>
        </w:rPr>
        <w:t>area in line with growth demands.</w:t>
      </w:r>
    </w:p>
    <w:p w:rsidR="00A40895" w:rsidRDefault="00A40895" w:rsidP="0069428D">
      <w:pPr>
        <w:spacing w:after="0"/>
        <w:ind w:left="567"/>
        <w:rPr>
          <w:rFonts w:cs="Arial"/>
          <w:szCs w:val="20"/>
        </w:rPr>
      </w:pPr>
    </w:p>
    <w:p w:rsidR="00A40895" w:rsidRPr="00036CBD" w:rsidRDefault="00A40895">
      <w:pPr>
        <w:spacing w:after="0"/>
        <w:rPr>
          <w:rFonts w:cs="Arial"/>
          <w:b/>
          <w:szCs w:val="20"/>
        </w:rPr>
      </w:pPr>
      <w:r w:rsidRPr="00036CBD">
        <w:rPr>
          <w:rFonts w:cs="Arial"/>
          <w:b/>
          <w:szCs w:val="20"/>
        </w:rPr>
        <w:t xml:space="preserve">Precinct 4 – </w:t>
      </w:r>
      <w:r w:rsidR="00EA355A">
        <w:rPr>
          <w:rFonts w:cs="Arial"/>
          <w:b/>
          <w:szCs w:val="20"/>
        </w:rPr>
        <w:t>R</w:t>
      </w:r>
      <w:r w:rsidRPr="00036CBD">
        <w:rPr>
          <w:rFonts w:cs="Arial"/>
          <w:b/>
          <w:szCs w:val="20"/>
        </w:rPr>
        <w:t>esidential communities</w:t>
      </w:r>
    </w:p>
    <w:p w:rsidR="00EE5FEB" w:rsidRPr="00431B3F" w:rsidRDefault="00EE5FEB" w:rsidP="0069428D">
      <w:pPr>
        <w:numPr>
          <w:ilvl w:val="0"/>
          <w:numId w:val="5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_Ref394476392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7.2.8.3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A40895" w:rsidRPr="00453CC2" w:rsidRDefault="00DF0AD4" w:rsidP="0069428D">
      <w:pPr>
        <w:numPr>
          <w:ilvl w:val="1"/>
          <w:numId w:val="52"/>
        </w:numPr>
        <w:spacing w:after="0"/>
        <w:rPr>
          <w:rFonts w:cs="Arial"/>
          <w:szCs w:val="20"/>
        </w:rPr>
      </w:pPr>
      <w:r>
        <w:rPr>
          <w:rFonts w:cs="Arial"/>
          <w:szCs w:val="20"/>
        </w:rPr>
        <w:t>h</w:t>
      </w:r>
      <w:r w:rsidR="00A40895" w:rsidRPr="00453CC2">
        <w:rPr>
          <w:rFonts w:cs="Arial"/>
          <w:szCs w:val="20"/>
        </w:rPr>
        <w:t>igher residential densities establish within comfortable walking distances of centres, public spaces, higher order connecting roads and public transport facilities, through:</w:t>
      </w:r>
    </w:p>
    <w:p w:rsidR="00A40895" w:rsidRPr="00453CC2" w:rsidRDefault="00A40895" w:rsidP="0069428D">
      <w:pPr>
        <w:numPr>
          <w:ilvl w:val="2"/>
          <w:numId w:val="52"/>
        </w:numPr>
        <w:spacing w:after="0"/>
        <w:rPr>
          <w:rFonts w:cs="Arial"/>
          <w:szCs w:val="20"/>
        </w:rPr>
      </w:pPr>
      <w:r w:rsidRPr="00453CC2">
        <w:rPr>
          <w:rFonts w:cs="Arial"/>
          <w:szCs w:val="20"/>
        </w:rPr>
        <w:t xml:space="preserve">consolidation of land for </w:t>
      </w:r>
      <w:r w:rsidR="007570BF">
        <w:rPr>
          <w:rFonts w:cs="Arial"/>
          <w:szCs w:val="20"/>
        </w:rPr>
        <w:t>higher density</w:t>
      </w:r>
      <w:r w:rsidRPr="00453CC2">
        <w:rPr>
          <w:rFonts w:cs="Arial"/>
          <w:szCs w:val="20"/>
        </w:rPr>
        <w:t xml:space="preserve"> residential activities;</w:t>
      </w:r>
    </w:p>
    <w:p w:rsidR="00A40895" w:rsidRPr="00453CC2" w:rsidRDefault="00A40895" w:rsidP="0069428D">
      <w:pPr>
        <w:numPr>
          <w:ilvl w:val="2"/>
          <w:numId w:val="52"/>
        </w:numPr>
        <w:spacing w:after="0"/>
        <w:rPr>
          <w:rFonts w:cs="Arial"/>
          <w:szCs w:val="20"/>
        </w:rPr>
      </w:pPr>
      <w:r w:rsidRPr="00453CC2">
        <w:rPr>
          <w:rFonts w:cs="Arial"/>
          <w:szCs w:val="20"/>
        </w:rPr>
        <w:t>infill development</w:t>
      </w:r>
      <w:r w:rsidR="00EA355A">
        <w:rPr>
          <w:rFonts w:cs="Arial"/>
          <w:szCs w:val="20"/>
        </w:rPr>
        <w:t>.</w:t>
      </w:r>
    </w:p>
    <w:p w:rsidR="00A40895" w:rsidRDefault="00DF0AD4" w:rsidP="0069428D">
      <w:pPr>
        <w:numPr>
          <w:ilvl w:val="1"/>
          <w:numId w:val="52"/>
        </w:numPr>
        <w:spacing w:after="0"/>
        <w:rPr>
          <w:rFonts w:cs="Arial"/>
          <w:szCs w:val="20"/>
        </w:rPr>
      </w:pPr>
      <w:r>
        <w:rPr>
          <w:rFonts w:cs="Arial"/>
          <w:szCs w:val="20"/>
        </w:rPr>
        <w:lastRenderedPageBreak/>
        <w:t>d</w:t>
      </w:r>
      <w:r w:rsidR="00A40895" w:rsidRPr="00453CC2">
        <w:rPr>
          <w:rFonts w:cs="Arial"/>
          <w:szCs w:val="20"/>
        </w:rPr>
        <w:t xml:space="preserve">evelopment, other than residential development, establishes at a scale consistent with a </w:t>
      </w:r>
      <w:r w:rsidR="004610D2">
        <w:rPr>
          <w:rFonts w:cs="Arial"/>
          <w:szCs w:val="20"/>
        </w:rPr>
        <w:t>N</w:t>
      </w:r>
      <w:r w:rsidR="00A40895" w:rsidRPr="00453CC2">
        <w:rPr>
          <w:rFonts w:cs="Arial"/>
          <w:szCs w:val="20"/>
        </w:rPr>
        <w:t>eighbourhood centre and is facilitated adjacent to public spaces and, or public tran</w:t>
      </w:r>
      <w:r w:rsidR="00EA355A">
        <w:rPr>
          <w:rFonts w:cs="Arial"/>
          <w:szCs w:val="20"/>
        </w:rPr>
        <w:t>sport routes and infrastructure.</w:t>
      </w:r>
    </w:p>
    <w:p w:rsidR="008B1AFE" w:rsidRPr="005A77FA" w:rsidRDefault="008B1AFE" w:rsidP="008B1AFE">
      <w:pPr>
        <w:pStyle w:val="Heading4"/>
        <w:ind w:left="851"/>
      </w:pPr>
      <w:bookmarkStart w:id="2" w:name="_Ref364953173"/>
      <w:r>
        <w:t>Criteria for a</w:t>
      </w:r>
      <w:r w:rsidRPr="005A77FA">
        <w:t>ssessment</w:t>
      </w:r>
      <w:bookmarkEnd w:id="2"/>
      <w:r w:rsidRPr="005A77FA">
        <w:t xml:space="preserve"> </w:t>
      </w:r>
    </w:p>
    <w:p w:rsidR="008B1AFE" w:rsidRPr="00BF128E" w:rsidRDefault="008B1AFE" w:rsidP="008B1AFE">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8B1AFE" w:rsidRPr="005A77FA" w:rsidRDefault="008B1AFE" w:rsidP="008B1AFE">
      <w:pPr>
        <w:spacing w:after="0" w:line="240" w:lineRule="auto"/>
        <w:rPr>
          <w:rFonts w:ascii="Arial" w:eastAsia="Times New Roman" w:hAnsi="Arial" w:cs="Arial"/>
          <w:szCs w:val="20"/>
        </w:rPr>
      </w:pPr>
    </w:p>
    <w:p w:rsidR="008B1AFE" w:rsidRPr="005A77FA" w:rsidRDefault="008B1AFE" w:rsidP="008B1AFE">
      <w:pPr>
        <w:pStyle w:val="Caption"/>
      </w:pPr>
      <w:r>
        <w:t xml:space="preserve">Table </w:t>
      </w:r>
      <w:r>
        <w:fldChar w:fldCharType="begin"/>
      </w:r>
      <w:r>
        <w:instrText xml:space="preserve"> REF _Ref364953173 \r \h </w:instrText>
      </w:r>
      <w:r>
        <w:fldChar w:fldCharType="separate"/>
      </w:r>
      <w:r w:rsidR="00BD320D">
        <w:t>7.2.8.4</w:t>
      </w:r>
      <w:r>
        <w:fldChar w:fldCharType="end"/>
      </w:r>
      <w:r>
        <w:t>.a</w:t>
      </w:r>
      <w:r w:rsidRPr="005A77FA">
        <w:t xml:space="preserve"> </w:t>
      </w:r>
      <w:r>
        <w:t xml:space="preserve">– Smithfield local plan </w:t>
      </w:r>
      <w:r w:rsidR="000B6ED3">
        <w:t xml:space="preserve">code </w:t>
      </w:r>
      <w:r>
        <w:t>–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462"/>
        <w:gridCol w:w="4916"/>
        <w:gridCol w:w="4914"/>
      </w:tblGrid>
      <w:tr w:rsidR="00590463" w:rsidRPr="005A77FA" w:rsidTr="0059046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61" w:type="pct"/>
            <w:tcBorders>
              <w:top w:val="single" w:sz="4" w:space="0" w:color="A5A5A5" w:themeColor="accent3"/>
              <w:bottom w:val="single" w:sz="4" w:space="0" w:color="A5A5A5" w:themeColor="accent3"/>
            </w:tcBorders>
          </w:tcPr>
          <w:p w:rsidR="00590463" w:rsidRPr="005A77FA" w:rsidRDefault="00590463" w:rsidP="007A082B">
            <w:pPr>
              <w:tabs>
                <w:tab w:val="left" w:pos="2655"/>
              </w:tabs>
            </w:pPr>
            <w:r w:rsidRPr="005A77FA">
              <w:t>Performance outcomes</w:t>
            </w:r>
          </w:p>
        </w:tc>
        <w:tc>
          <w:tcPr>
            <w:tcW w:w="1720" w:type="pct"/>
            <w:tcBorders>
              <w:top w:val="single" w:sz="4" w:space="0" w:color="A5A5A5" w:themeColor="accent3"/>
              <w:bottom w:val="single" w:sz="4" w:space="0" w:color="A5A5A5" w:themeColor="accent3"/>
            </w:tcBorders>
          </w:tcPr>
          <w:p w:rsidR="00590463" w:rsidRPr="005A77FA" w:rsidRDefault="00590463" w:rsidP="00773164">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719" w:type="pct"/>
            <w:tcBorders>
              <w:top w:val="single" w:sz="4" w:space="0" w:color="A5A5A5" w:themeColor="accent3"/>
              <w:bottom w:val="single" w:sz="4" w:space="0" w:color="A5A5A5" w:themeColor="accent3"/>
            </w:tcBorders>
          </w:tcPr>
          <w:p w:rsidR="00590463" w:rsidRPr="005A77FA" w:rsidRDefault="00590463" w:rsidP="00773164">
            <w:r>
              <w:t>Applicant response</w:t>
            </w:r>
          </w:p>
        </w:tc>
      </w:tr>
      <w:tr w:rsidR="00590463" w:rsidRPr="00621988"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Pr="00621988" w:rsidRDefault="00590463" w:rsidP="00773164">
            <w:pPr>
              <w:rPr>
                <w:b/>
              </w:rPr>
            </w:pPr>
            <w:r w:rsidRPr="00621988">
              <w:rPr>
                <w:b/>
              </w:rPr>
              <w:t>For assessable development</w:t>
            </w: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773164">
            <w:pPr>
              <w:rPr>
                <w:b/>
              </w:rPr>
            </w:pPr>
            <w:r>
              <w:rPr>
                <w:b/>
              </w:rPr>
              <w:t>Economic activity</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773164">
            <w:pPr>
              <w:rPr>
                <w:rFonts w:cs="Arial"/>
                <w:b/>
                <w:szCs w:val="20"/>
              </w:rPr>
            </w:pPr>
            <w:r w:rsidRPr="00453CC2">
              <w:rPr>
                <w:rFonts w:cs="Arial"/>
                <w:b/>
                <w:szCs w:val="20"/>
              </w:rPr>
              <w:t>PO1</w:t>
            </w:r>
          </w:p>
          <w:p w:rsidR="00590463" w:rsidRPr="00453CC2" w:rsidRDefault="00590463" w:rsidP="00BE0207">
            <w:pPr>
              <w:rPr>
                <w:rFonts w:cs="Arial"/>
                <w:szCs w:val="20"/>
              </w:rPr>
            </w:pPr>
            <w:r w:rsidRPr="00453CC2">
              <w:rPr>
                <w:rFonts w:cs="Arial"/>
                <w:szCs w:val="20"/>
              </w:rPr>
              <w:t xml:space="preserve">Development </w:t>
            </w:r>
            <w:r>
              <w:rPr>
                <w:rFonts w:cs="Arial"/>
                <w:szCs w:val="20"/>
              </w:rPr>
              <w:t>achieves</w:t>
            </w:r>
            <w:r w:rsidRPr="00453CC2">
              <w:rPr>
                <w:rFonts w:cs="Arial"/>
                <w:szCs w:val="20"/>
              </w:rPr>
              <w:t xml:space="preserve"> a consolidated, dominant retail centre on the existing Smithfield </w:t>
            </w:r>
            <w:r>
              <w:rPr>
                <w:rFonts w:cs="Arial"/>
                <w:szCs w:val="20"/>
              </w:rPr>
              <w:t>s</w:t>
            </w:r>
            <w:r w:rsidRPr="00453CC2">
              <w:rPr>
                <w:rFonts w:cs="Arial"/>
                <w:szCs w:val="20"/>
              </w:rPr>
              <w:t xml:space="preserve">hopping </w:t>
            </w:r>
            <w:r>
              <w:rPr>
                <w:rFonts w:cs="Arial"/>
                <w:szCs w:val="20"/>
              </w:rPr>
              <w:t>c</w:t>
            </w:r>
            <w:r w:rsidRPr="00453CC2">
              <w:rPr>
                <w:rFonts w:cs="Arial"/>
                <w:szCs w:val="20"/>
              </w:rPr>
              <w:t>entre site</w:t>
            </w:r>
            <w:r>
              <w:rPr>
                <w:rFonts w:cs="Arial"/>
                <w:szCs w:val="20"/>
              </w:rPr>
              <w:t xml:space="preserve"> and ensures </w:t>
            </w:r>
            <w:r w:rsidRPr="00453CC2">
              <w:rPr>
                <w:rFonts w:cs="Arial"/>
                <w:color w:val="000000" w:themeColor="text1"/>
                <w:szCs w:val="20"/>
              </w:rPr>
              <w:t xml:space="preserve">new and additional floor space for the sale and supply of retail goods and services </w:t>
            </w:r>
            <w:r>
              <w:rPr>
                <w:rFonts w:cs="Arial"/>
                <w:color w:val="000000" w:themeColor="text1"/>
                <w:szCs w:val="20"/>
              </w:rPr>
              <w:t>develops in line with the need of</w:t>
            </w:r>
            <w:r w:rsidRPr="00453CC2">
              <w:rPr>
                <w:rFonts w:cs="Arial"/>
                <w:color w:val="000000" w:themeColor="text1"/>
                <w:szCs w:val="20"/>
              </w:rPr>
              <w:t xml:space="preserve"> the Cairns Northern Beaches communities to 2025</w:t>
            </w:r>
            <w:r>
              <w:rPr>
                <w:rFonts w:cs="Arial"/>
                <w:color w:val="000000" w:themeColor="text1"/>
                <w:szCs w:val="20"/>
              </w:rPr>
              <w:t>.</w:t>
            </w:r>
          </w:p>
        </w:tc>
        <w:tc>
          <w:tcPr>
            <w:tcW w:w="1720" w:type="pct"/>
          </w:tcPr>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szCs w:val="20"/>
              </w:rPr>
            </w:pPr>
            <w:r w:rsidRPr="00453CC2">
              <w:rPr>
                <w:rFonts w:cs="Arial"/>
                <w:b/>
                <w:szCs w:val="20"/>
              </w:rPr>
              <w:t>AO</w:t>
            </w:r>
            <w:r>
              <w:rPr>
                <w:rFonts w:cs="Arial"/>
                <w:b/>
                <w:szCs w:val="20"/>
              </w:rPr>
              <w:t>1.1</w:t>
            </w:r>
          </w:p>
          <w:p w:rsidR="00590463" w:rsidRPr="00453CC2" w:rsidRDefault="00590463" w:rsidP="004610D2">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453CC2">
              <w:rPr>
                <w:rFonts w:cs="Arial"/>
                <w:szCs w:val="20"/>
              </w:rPr>
              <w:t>Development with a cumulative floor area of greater than 2,500m</w:t>
            </w:r>
            <w:r w:rsidRPr="00453CC2">
              <w:rPr>
                <w:rFonts w:cs="Arial"/>
                <w:szCs w:val="20"/>
                <w:vertAlign w:val="superscript"/>
              </w:rPr>
              <w:t>2</w:t>
            </w:r>
            <w:r w:rsidRPr="00453CC2">
              <w:rPr>
                <w:rFonts w:cs="Arial"/>
                <w:szCs w:val="20"/>
              </w:rPr>
              <w:t xml:space="preserve"> on any one or adjacent sites, outside </w:t>
            </w:r>
            <w:r>
              <w:rPr>
                <w:rFonts w:cs="Arial"/>
                <w:szCs w:val="20"/>
              </w:rPr>
              <w:t xml:space="preserve">Precinct 1 – Smithfield Major centre </w:t>
            </w:r>
            <w:r w:rsidRPr="00453CC2">
              <w:rPr>
                <w:rFonts w:cs="Arial"/>
                <w:szCs w:val="20"/>
              </w:rPr>
              <w:t>demonstrates an economic and com</w:t>
            </w:r>
            <w:r>
              <w:rPr>
                <w:rFonts w:cs="Arial"/>
                <w:szCs w:val="20"/>
              </w:rPr>
              <w:t>munity need for the development which will not compromise the effective function of the Smithfield shopping centre site.</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773164">
            <w:pPr>
              <w:rPr>
                <w:rFonts w:cs="Arial"/>
                <w:b/>
                <w:szCs w:val="20"/>
              </w:rPr>
            </w:pP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69428D">
            <w:pPr>
              <w:keepNext/>
              <w:rPr>
                <w:rFonts w:eastAsiaTheme="minorEastAsia" w:cs="Arial"/>
                <w:b/>
                <w:szCs w:val="20"/>
                <w:lang w:eastAsia="en-AU"/>
              </w:rPr>
            </w:pPr>
            <w:r>
              <w:rPr>
                <w:rFonts w:cs="Arial"/>
                <w:b/>
                <w:szCs w:val="20"/>
              </w:rPr>
              <w:t>PO2</w:t>
            </w:r>
          </w:p>
          <w:p w:rsidR="00590463" w:rsidRPr="00453CC2" w:rsidRDefault="00590463" w:rsidP="0069428D">
            <w:pPr>
              <w:keepNext/>
              <w:rPr>
                <w:rFonts w:eastAsiaTheme="minorEastAsia" w:cs="Arial"/>
                <w:szCs w:val="20"/>
                <w:lang w:eastAsia="en-AU"/>
              </w:rPr>
            </w:pPr>
            <w:r w:rsidRPr="00453CC2">
              <w:rPr>
                <w:rFonts w:cs="Arial"/>
                <w:szCs w:val="20"/>
              </w:rPr>
              <w:t>Small-scale retail, businesses and restaurants establish to support local communities where they are:</w:t>
            </w:r>
          </w:p>
          <w:p w:rsidR="00590463" w:rsidRPr="008B1AFE" w:rsidRDefault="00590463" w:rsidP="00837C56">
            <w:pPr>
              <w:keepNext/>
              <w:ind w:left="426" w:hanging="426"/>
              <w:rPr>
                <w:rFonts w:eastAsiaTheme="minorEastAsia" w:cs="Arial"/>
                <w:szCs w:val="20"/>
                <w:lang w:eastAsia="en-AU"/>
              </w:rPr>
            </w:pPr>
            <w:r>
              <w:rPr>
                <w:rFonts w:cs="Arial"/>
                <w:szCs w:val="20"/>
              </w:rPr>
              <w:t>(a)</w:t>
            </w:r>
            <w:r>
              <w:rPr>
                <w:rFonts w:cs="Arial"/>
                <w:szCs w:val="20"/>
              </w:rPr>
              <w:tab/>
            </w:r>
            <w:r w:rsidRPr="008B1AFE">
              <w:rPr>
                <w:rFonts w:cs="Arial"/>
                <w:szCs w:val="20"/>
              </w:rPr>
              <w:t>within a walking distance or catchment of predominantly residential neighbourhoods;</w:t>
            </w:r>
          </w:p>
          <w:p w:rsidR="00590463" w:rsidRPr="008B1AFE" w:rsidRDefault="00590463" w:rsidP="00837C56">
            <w:pPr>
              <w:keepNext/>
              <w:ind w:left="426" w:hanging="426"/>
              <w:rPr>
                <w:rFonts w:eastAsiaTheme="minorEastAsia" w:cs="Arial"/>
                <w:szCs w:val="20"/>
                <w:lang w:eastAsia="en-AU"/>
              </w:rPr>
            </w:pPr>
            <w:r>
              <w:rPr>
                <w:rFonts w:cs="Arial"/>
                <w:szCs w:val="20"/>
              </w:rPr>
              <w:t>(b)</w:t>
            </w:r>
            <w:r>
              <w:rPr>
                <w:rFonts w:cs="Arial"/>
                <w:szCs w:val="20"/>
              </w:rPr>
              <w:tab/>
            </w:r>
            <w:r w:rsidRPr="008B1AFE">
              <w:rPr>
                <w:rFonts w:cs="Arial"/>
                <w:szCs w:val="20"/>
              </w:rPr>
              <w:t>adjacent to a higher order road(s);</w:t>
            </w:r>
          </w:p>
          <w:p w:rsidR="00590463" w:rsidRPr="008B1AFE" w:rsidRDefault="00590463" w:rsidP="00837C56">
            <w:pPr>
              <w:keepNext/>
              <w:ind w:left="426" w:hanging="426"/>
              <w:rPr>
                <w:rFonts w:eastAsiaTheme="minorEastAsia" w:cs="Arial"/>
                <w:szCs w:val="20"/>
                <w:lang w:eastAsia="en-AU"/>
              </w:rPr>
            </w:pPr>
            <w:r>
              <w:rPr>
                <w:rFonts w:cs="Arial"/>
                <w:szCs w:val="20"/>
              </w:rPr>
              <w:t>(c)</w:t>
            </w:r>
            <w:r>
              <w:rPr>
                <w:rFonts w:cs="Arial"/>
                <w:szCs w:val="20"/>
              </w:rPr>
              <w:tab/>
              <w:t xml:space="preserve">in proximity </w:t>
            </w:r>
            <w:r w:rsidRPr="008B1AFE">
              <w:rPr>
                <w:rFonts w:cs="Arial"/>
                <w:szCs w:val="20"/>
              </w:rPr>
              <w:t>to public transport routes.</w:t>
            </w:r>
          </w:p>
        </w:tc>
        <w:tc>
          <w:tcPr>
            <w:tcW w:w="1720" w:type="pct"/>
          </w:tcPr>
          <w:p w:rsidR="00590463" w:rsidRPr="00453CC2" w:rsidRDefault="00590463"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453CC2">
              <w:rPr>
                <w:rFonts w:cs="Arial"/>
                <w:b/>
                <w:szCs w:val="20"/>
              </w:rPr>
              <w:t>AO</w:t>
            </w:r>
            <w:r>
              <w:rPr>
                <w:rFonts w:cs="Arial"/>
                <w:b/>
                <w:szCs w:val="20"/>
              </w:rPr>
              <w:t>2.1</w:t>
            </w:r>
          </w:p>
          <w:p w:rsidR="00590463" w:rsidRPr="00453CC2" w:rsidRDefault="00590463"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Land uses in residential areas, other than for residential activities</w:t>
            </w:r>
            <w:r w:rsidRPr="00453CC2">
              <w:rPr>
                <w:rFonts w:cs="Arial"/>
                <w:szCs w:val="20"/>
              </w:rPr>
              <w:t>:</w:t>
            </w:r>
          </w:p>
          <w:p w:rsidR="00590463" w:rsidRPr="008B1AFE"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r>
            <w:r w:rsidRPr="008B1AFE">
              <w:rPr>
                <w:rFonts w:cs="Arial"/>
                <w:szCs w:val="20"/>
              </w:rPr>
              <w:t>have less than 250m</w:t>
            </w:r>
            <w:r w:rsidRPr="008B1AFE">
              <w:rPr>
                <w:rFonts w:cs="Arial"/>
                <w:szCs w:val="20"/>
                <w:vertAlign w:val="superscript"/>
              </w:rPr>
              <w:t>2</w:t>
            </w:r>
            <w:r w:rsidRPr="008B1AFE">
              <w:rPr>
                <w:rFonts w:cs="Arial"/>
                <w:szCs w:val="20"/>
              </w:rPr>
              <w:t xml:space="preserve"> total gross floor area;</w:t>
            </w:r>
          </w:p>
          <w:p w:rsidR="00590463" w:rsidRPr="008B1AFE"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(b)</w:t>
            </w:r>
            <w:r>
              <w:rPr>
                <w:rFonts w:cs="Arial"/>
                <w:szCs w:val="20"/>
              </w:rPr>
              <w:tab/>
            </w:r>
            <w:r w:rsidRPr="008B1AFE">
              <w:rPr>
                <w:rFonts w:cs="Arial"/>
                <w:szCs w:val="20"/>
              </w:rPr>
              <w:t>are located within 400</w:t>
            </w:r>
            <w:r>
              <w:rPr>
                <w:rFonts w:cs="Arial"/>
                <w:szCs w:val="20"/>
              </w:rPr>
              <w:t xml:space="preserve"> metres</w:t>
            </w:r>
            <w:r w:rsidRPr="008B1AFE">
              <w:rPr>
                <w:rFonts w:cs="Arial"/>
                <w:szCs w:val="20"/>
              </w:rPr>
              <w:t xml:space="preserve"> of existing or future residential land uses;</w:t>
            </w:r>
          </w:p>
          <w:p w:rsidR="00590463" w:rsidRPr="008B1AFE"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(c)</w:t>
            </w:r>
            <w:r>
              <w:rPr>
                <w:rFonts w:cs="Arial"/>
                <w:szCs w:val="20"/>
              </w:rPr>
              <w:tab/>
            </w:r>
            <w:r w:rsidRPr="008B1AFE">
              <w:rPr>
                <w:rFonts w:cs="Arial"/>
                <w:szCs w:val="20"/>
              </w:rPr>
              <w:t>are located on a collector road or sub-arterial road;</w:t>
            </w:r>
          </w:p>
          <w:p w:rsidR="00590463" w:rsidRPr="008B1AFE"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(d)</w:t>
            </w:r>
            <w:r>
              <w:rPr>
                <w:rFonts w:cs="Arial"/>
                <w:szCs w:val="20"/>
              </w:rPr>
              <w:tab/>
            </w:r>
            <w:r w:rsidRPr="008B1AFE">
              <w:rPr>
                <w:rFonts w:cs="Arial"/>
                <w:szCs w:val="20"/>
              </w:rPr>
              <w:t>are located within 400</w:t>
            </w:r>
            <w:r>
              <w:rPr>
                <w:rFonts w:cs="Arial"/>
                <w:szCs w:val="20"/>
              </w:rPr>
              <w:t xml:space="preserve"> metres</w:t>
            </w:r>
            <w:r w:rsidRPr="008B1AFE">
              <w:rPr>
                <w:rFonts w:cs="Arial"/>
                <w:szCs w:val="20"/>
              </w:rPr>
              <w:t xml:space="preserve"> of a public transport route.</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69428D">
            <w:pPr>
              <w:keepNext/>
              <w:rPr>
                <w:rFonts w:cs="Arial"/>
                <w:b/>
                <w:szCs w:val="20"/>
              </w:rPr>
            </w:pPr>
          </w:p>
        </w:tc>
      </w:tr>
      <w:tr w:rsidR="00590463" w:rsidRPr="00621988"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773164">
            <w:pPr>
              <w:rPr>
                <w:b/>
              </w:rPr>
            </w:pPr>
            <w:r>
              <w:rPr>
                <w:b/>
              </w:rPr>
              <w:t>Building height and gateway sites</w:t>
            </w:r>
          </w:p>
        </w:tc>
      </w:tr>
      <w:tr w:rsidR="00590463" w:rsidRPr="007649B2" w:rsidTr="00590463">
        <w:trPr>
          <w:trHeight w:val="2159"/>
        </w:trPr>
        <w:tc>
          <w:tcPr>
            <w:cnfStyle w:val="000010000000" w:firstRow="0" w:lastRow="0" w:firstColumn="0" w:lastColumn="0" w:oddVBand="1" w:evenVBand="0" w:oddHBand="0" w:evenHBand="0" w:firstRowFirstColumn="0" w:firstRowLastColumn="0" w:lastRowFirstColumn="0" w:lastRowLastColumn="0"/>
            <w:tcW w:w="1561" w:type="pct"/>
            <w:vMerge w:val="restart"/>
          </w:tcPr>
          <w:p w:rsidR="00590463" w:rsidRDefault="00590463" w:rsidP="00773164">
            <w:pPr>
              <w:rPr>
                <w:rFonts w:cs="Arial"/>
                <w:b/>
                <w:szCs w:val="20"/>
              </w:rPr>
            </w:pPr>
            <w:r>
              <w:rPr>
                <w:rFonts w:cs="Arial"/>
                <w:b/>
                <w:szCs w:val="20"/>
              </w:rPr>
              <w:lastRenderedPageBreak/>
              <w:t>PO3</w:t>
            </w:r>
          </w:p>
          <w:p w:rsidR="00590463" w:rsidRDefault="00590463" w:rsidP="00773164">
            <w:pPr>
              <w:rPr>
                <w:rFonts w:cs="Arial"/>
                <w:szCs w:val="20"/>
              </w:rPr>
            </w:pPr>
            <w:r>
              <w:rPr>
                <w:rFonts w:cs="Arial"/>
                <w:szCs w:val="20"/>
              </w:rPr>
              <w:t>The height of buildings or structures:</w:t>
            </w:r>
          </w:p>
          <w:p w:rsidR="00590463" w:rsidRPr="006B07F8" w:rsidRDefault="00590463" w:rsidP="00837C56">
            <w:pPr>
              <w:ind w:left="426" w:hanging="426"/>
              <w:rPr>
                <w:rFonts w:cs="Arial"/>
                <w:szCs w:val="20"/>
              </w:rPr>
            </w:pPr>
            <w:r>
              <w:rPr>
                <w:rFonts w:cs="Arial"/>
                <w:szCs w:val="20"/>
              </w:rPr>
              <w:t>(a)</w:t>
            </w:r>
            <w:r>
              <w:rPr>
                <w:rFonts w:cs="Arial"/>
                <w:szCs w:val="20"/>
              </w:rPr>
              <w:tab/>
            </w:r>
            <w:r w:rsidRPr="006B07F8">
              <w:rPr>
                <w:rFonts w:cs="Arial"/>
                <w:szCs w:val="20"/>
              </w:rPr>
              <w:t xml:space="preserve">reinforces Precinct 1 - Smithfield </w:t>
            </w:r>
            <w:r>
              <w:rPr>
                <w:rFonts w:cs="Arial"/>
                <w:szCs w:val="20"/>
              </w:rPr>
              <w:t>M</w:t>
            </w:r>
            <w:r w:rsidRPr="006B07F8">
              <w:rPr>
                <w:rFonts w:cs="Arial"/>
                <w:szCs w:val="20"/>
              </w:rPr>
              <w:t>ajor centre as the area accommodating the highe</w:t>
            </w:r>
            <w:r>
              <w:rPr>
                <w:rFonts w:cs="Arial"/>
                <w:szCs w:val="20"/>
              </w:rPr>
              <w:t>st intensity of development;</w:t>
            </w:r>
          </w:p>
          <w:p w:rsidR="00590463" w:rsidRPr="006B07F8" w:rsidRDefault="00590463" w:rsidP="00837C56">
            <w:pPr>
              <w:ind w:left="426" w:hanging="426"/>
              <w:rPr>
                <w:rFonts w:cs="Arial"/>
                <w:szCs w:val="20"/>
              </w:rPr>
            </w:pPr>
            <w:r>
              <w:rPr>
                <w:rFonts w:cs="Arial"/>
                <w:szCs w:val="20"/>
              </w:rPr>
              <w:t>(b)</w:t>
            </w:r>
            <w:r>
              <w:rPr>
                <w:rFonts w:cs="Arial"/>
                <w:szCs w:val="20"/>
              </w:rPr>
              <w:tab/>
            </w:r>
            <w:r w:rsidRPr="006B07F8">
              <w:rPr>
                <w:rFonts w:cs="Arial"/>
                <w:szCs w:val="20"/>
              </w:rPr>
              <w:t xml:space="preserve">ensures that there is a transition of building form from Precinct 1 – Smithfield </w:t>
            </w:r>
            <w:r>
              <w:rPr>
                <w:rFonts w:cs="Arial"/>
                <w:szCs w:val="20"/>
              </w:rPr>
              <w:t>M</w:t>
            </w:r>
            <w:r w:rsidRPr="006B07F8">
              <w:rPr>
                <w:rFonts w:cs="Arial"/>
                <w:szCs w:val="20"/>
              </w:rPr>
              <w:t>ajor cent</w:t>
            </w:r>
            <w:r>
              <w:rPr>
                <w:rFonts w:cs="Arial"/>
                <w:szCs w:val="20"/>
              </w:rPr>
              <w:t>re to the surrounding areas;</w:t>
            </w:r>
          </w:p>
          <w:p w:rsidR="00590463" w:rsidRDefault="00590463" w:rsidP="00837C56">
            <w:pPr>
              <w:ind w:left="426" w:hanging="426"/>
              <w:rPr>
                <w:rFonts w:cs="Arial"/>
                <w:szCs w:val="20"/>
              </w:rPr>
            </w:pPr>
            <w:r>
              <w:rPr>
                <w:rFonts w:cs="Arial"/>
                <w:szCs w:val="20"/>
              </w:rPr>
              <w:t>(c)</w:t>
            </w:r>
            <w:r>
              <w:rPr>
                <w:rFonts w:cs="Arial"/>
                <w:szCs w:val="20"/>
              </w:rPr>
              <w:tab/>
            </w:r>
            <w:r w:rsidRPr="006B07F8">
              <w:rPr>
                <w:rFonts w:cs="Arial"/>
                <w:szCs w:val="20"/>
              </w:rPr>
              <w:t>ensures there is variation in scale and architectural detail of development in multi-storey buildings and structures.</w:t>
            </w:r>
          </w:p>
          <w:p w:rsidR="00590463" w:rsidRDefault="00590463" w:rsidP="006B07F8">
            <w:pPr>
              <w:ind w:left="567" w:hanging="567"/>
              <w:rPr>
                <w:rFonts w:cs="Arial"/>
                <w:szCs w:val="20"/>
              </w:rPr>
            </w:pPr>
          </w:p>
          <w:p w:rsidR="00590463" w:rsidRDefault="00590463" w:rsidP="00193DB3">
            <w:pPr>
              <w:rPr>
                <w:sz w:val="16"/>
                <w:szCs w:val="16"/>
              </w:rPr>
            </w:pPr>
            <w:r w:rsidRPr="00933F75">
              <w:rPr>
                <w:sz w:val="16"/>
                <w:szCs w:val="16"/>
              </w:rPr>
              <w:t xml:space="preserve">Note - A visual impact assessment </w:t>
            </w:r>
            <w:r>
              <w:rPr>
                <w:sz w:val="16"/>
                <w:szCs w:val="16"/>
              </w:rPr>
              <w:t xml:space="preserve">may be required where a proposed development exceeds the height stated in AO4.1. </w:t>
            </w:r>
            <w:r w:rsidRPr="00933F75">
              <w:rPr>
                <w:sz w:val="16"/>
                <w:szCs w:val="16"/>
              </w:rPr>
              <w:t xml:space="preserve">Planning scheme policy – Landscape values </w:t>
            </w:r>
            <w:r>
              <w:rPr>
                <w:sz w:val="16"/>
                <w:szCs w:val="16"/>
              </w:rPr>
              <w:t>provides guidance on undertaking a visual impact assessment.</w:t>
            </w:r>
          </w:p>
          <w:p w:rsidR="00590463" w:rsidRDefault="00590463" w:rsidP="00193DB3">
            <w:pPr>
              <w:rPr>
                <w:sz w:val="16"/>
                <w:szCs w:val="16"/>
              </w:rPr>
            </w:pPr>
          </w:p>
          <w:p w:rsidR="00590463" w:rsidRPr="00C66725" w:rsidRDefault="00590463" w:rsidP="00193DB3">
            <w:pPr>
              <w:rPr>
                <w:rFonts w:cs="Arial"/>
                <w:color w:val="FF0000"/>
                <w:szCs w:val="20"/>
              </w:rPr>
            </w:pPr>
            <w:r>
              <w:rPr>
                <w:rFonts w:eastAsia="Calibri" w:cs="Arial"/>
                <w:sz w:val="16"/>
                <w:szCs w:val="16"/>
              </w:rPr>
              <w:t xml:space="preserve">Note – Where a proposed development exceeds the height stated in AO3.1 or AO3.2, the proposed setbacks and site coverage will be assessed in relation to the proposed height.  </w:t>
            </w:r>
          </w:p>
          <w:p w:rsidR="00590463" w:rsidRPr="006B07F8" w:rsidRDefault="00590463" w:rsidP="006B07F8">
            <w:pPr>
              <w:ind w:left="567" w:hanging="567"/>
              <w:rPr>
                <w:rFonts w:cs="Arial"/>
                <w:szCs w:val="20"/>
              </w:rPr>
            </w:pPr>
          </w:p>
        </w:tc>
        <w:tc>
          <w:tcPr>
            <w:tcW w:w="1720" w:type="pct"/>
          </w:tcPr>
          <w:p w:rsidR="00590463" w:rsidRDefault="00590463" w:rsidP="00773164">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AO3.1</w:t>
            </w:r>
          </w:p>
          <w:p w:rsidR="00590463" w:rsidRDefault="00590463" w:rsidP="00773164">
            <w:pPr>
              <w:ind w:right="26"/>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Buildings or structures have a height:</w:t>
            </w:r>
          </w:p>
          <w:p w:rsidR="00590463" w:rsidRDefault="00590463" w:rsidP="00837C56">
            <w:pPr>
              <w:ind w:left="409" w:right="26"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t>up to 14 metres and three storeys in Precinct 1;</w:t>
            </w:r>
          </w:p>
          <w:p w:rsidR="00590463" w:rsidRDefault="00590463" w:rsidP="00837C56">
            <w:pPr>
              <w:ind w:left="409" w:right="26" w:hanging="409"/>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w:t>
            </w:r>
            <w:r>
              <w:rPr>
                <w:rFonts w:cs="Arial"/>
                <w:szCs w:val="20"/>
              </w:rPr>
              <w:tab/>
              <w:t>up to</w:t>
            </w:r>
            <w:r w:rsidRPr="00EE1633">
              <w:rPr>
                <w:rFonts w:cs="Arial"/>
                <w:szCs w:val="20"/>
              </w:rPr>
              <w:t xml:space="preserve"> </w:t>
            </w:r>
            <w:r>
              <w:rPr>
                <w:rFonts w:cs="Arial"/>
                <w:szCs w:val="20"/>
              </w:rPr>
              <w:t xml:space="preserve">21 </w:t>
            </w:r>
            <w:r w:rsidRPr="00EE1633">
              <w:rPr>
                <w:rFonts w:cs="Arial"/>
                <w:szCs w:val="20"/>
              </w:rPr>
              <w:t>metres</w:t>
            </w:r>
            <w:r>
              <w:rPr>
                <w:rFonts w:cs="Arial"/>
                <w:szCs w:val="20"/>
              </w:rPr>
              <w:t xml:space="preserve"> and 6 storeys in Precinct 1a</w:t>
            </w:r>
            <w:r w:rsidRPr="00EE1633">
              <w:rPr>
                <w:rFonts w:cs="Arial"/>
                <w:szCs w:val="20"/>
              </w:rPr>
              <w:t>;</w:t>
            </w:r>
            <w:r>
              <w:rPr>
                <w:rFonts w:cs="Arial"/>
                <w:szCs w:val="20"/>
              </w:rPr>
              <w:t xml:space="preserve"> </w:t>
            </w:r>
          </w:p>
          <w:p w:rsidR="00590463" w:rsidRPr="00EE1633" w:rsidRDefault="00590463" w:rsidP="00837C56">
            <w:pPr>
              <w:ind w:left="409" w:right="26" w:hanging="409"/>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t>up to 15</w:t>
            </w:r>
            <w:r w:rsidRPr="00EE1633">
              <w:rPr>
                <w:rFonts w:cs="Arial"/>
                <w:szCs w:val="20"/>
              </w:rPr>
              <w:t xml:space="preserve"> </w:t>
            </w:r>
            <w:r>
              <w:rPr>
                <w:rFonts w:cs="Arial"/>
                <w:szCs w:val="20"/>
              </w:rPr>
              <w:t>metres in Precinct 1b, Precinct 2 and Precinct 3, Precinct 3a and Precinct 3b;</w:t>
            </w:r>
          </w:p>
          <w:p w:rsidR="00590463" w:rsidRDefault="00590463" w:rsidP="00837C56">
            <w:pPr>
              <w:ind w:left="409" w:right="26" w:hanging="409"/>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w:t>
            </w:r>
            <w:r>
              <w:rPr>
                <w:rFonts w:cs="Arial"/>
                <w:szCs w:val="20"/>
              </w:rPr>
              <w:tab/>
              <w:t>up to 14 metres and three storeys in the Precinct 4.</w:t>
            </w:r>
          </w:p>
          <w:p w:rsidR="00590463" w:rsidRDefault="00590463" w:rsidP="00180F11">
            <w:pPr>
              <w:ind w:left="551" w:right="26" w:hanging="551"/>
              <w:cnfStyle w:val="000000000000" w:firstRow="0" w:lastRow="0" w:firstColumn="0" w:lastColumn="0" w:oddVBand="0" w:evenVBand="0" w:oddHBand="0" w:evenHBand="0" w:firstRowFirstColumn="0" w:firstRowLastColumn="0" w:lastRowFirstColumn="0" w:lastRowLastColumn="0"/>
              <w:rPr>
                <w:rFonts w:cs="Arial"/>
                <w:szCs w:val="20"/>
              </w:rPr>
            </w:pPr>
          </w:p>
          <w:p w:rsidR="00590463" w:rsidRDefault="00590463" w:rsidP="00180F11">
            <w:pPr>
              <w:ind w:left="551" w:right="26" w:hanging="551"/>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or</w:t>
            </w:r>
          </w:p>
          <w:p w:rsidR="00590463" w:rsidRDefault="00590463" w:rsidP="00180F11">
            <w:pPr>
              <w:ind w:left="551" w:right="26" w:hanging="551"/>
              <w:cnfStyle w:val="000000000000" w:firstRow="0" w:lastRow="0" w:firstColumn="0" w:lastColumn="0" w:oddVBand="0" w:evenVBand="0" w:oddHBand="0" w:evenHBand="0" w:firstRowFirstColumn="0" w:firstRowLastColumn="0" w:lastRowFirstColumn="0" w:lastRowLastColumn="0"/>
              <w:rPr>
                <w:rFonts w:cs="Arial"/>
                <w:szCs w:val="20"/>
              </w:rPr>
            </w:pPr>
          </w:p>
          <w:p w:rsidR="00590463" w:rsidRPr="00B81A0D" w:rsidRDefault="00590463" w:rsidP="00B81A0D">
            <w:pPr>
              <w:ind w:right="28"/>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AO3</w:t>
            </w:r>
            <w:r w:rsidRPr="00B81A0D">
              <w:rPr>
                <w:rFonts w:cs="Arial"/>
                <w:b/>
                <w:szCs w:val="20"/>
              </w:rPr>
              <w:t>.2</w:t>
            </w:r>
          </w:p>
          <w:p w:rsidR="00590463" w:rsidRDefault="00590463" w:rsidP="00B81A0D">
            <w:pPr>
              <w:ind w:right="28"/>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Where on a gateway site, buildings and structures are not more than 21 metres and 6 storeys.</w:t>
            </w:r>
          </w:p>
          <w:p w:rsidR="00590463" w:rsidRDefault="00590463" w:rsidP="00631A92">
            <w:pPr>
              <w:ind w:right="26"/>
              <w:cnfStyle w:val="000000000000" w:firstRow="0" w:lastRow="0" w:firstColumn="0" w:lastColumn="0" w:oddVBand="0" w:evenVBand="0" w:oddHBand="0" w:evenHBand="0" w:firstRowFirstColumn="0" w:firstRowLastColumn="0" w:lastRowFirstColumn="0" w:lastRowLastColumn="0"/>
              <w:rPr>
                <w:rFonts w:cs="Arial"/>
                <w:szCs w:val="20"/>
              </w:rPr>
            </w:pPr>
          </w:p>
          <w:p w:rsidR="00590463" w:rsidRPr="004C44A7" w:rsidRDefault="00590463" w:rsidP="00180F11">
            <w:pPr>
              <w:ind w:left="551" w:right="26" w:hanging="551"/>
              <w:cnfStyle w:val="000000000000" w:firstRow="0" w:lastRow="0" w:firstColumn="0" w:lastColumn="0" w:oddVBand="0" w:evenVBand="0" w:oddHBand="0" w:evenHBand="0" w:firstRowFirstColumn="0" w:firstRowLastColumn="0" w:lastRowFirstColumn="0" w:lastRowLastColumn="0"/>
              <w:rPr>
                <w:rFonts w:cs="Arial"/>
                <w:szCs w:val="20"/>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719" w:type="pct"/>
          </w:tcPr>
          <w:p w:rsidR="00590463" w:rsidRDefault="00590463" w:rsidP="00773164">
            <w:pPr>
              <w:rPr>
                <w:rFonts w:cs="Arial"/>
                <w:b/>
                <w:szCs w:val="20"/>
              </w:rPr>
            </w:pP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vMerge/>
          </w:tcPr>
          <w:p w:rsidR="00590463" w:rsidRDefault="00590463" w:rsidP="00773164">
            <w:pPr>
              <w:rPr>
                <w:rFonts w:cs="Arial"/>
                <w:b/>
                <w:szCs w:val="20"/>
              </w:rPr>
            </w:pPr>
          </w:p>
        </w:tc>
        <w:tc>
          <w:tcPr>
            <w:tcW w:w="1720" w:type="pct"/>
          </w:tcPr>
          <w:p w:rsidR="00590463" w:rsidRPr="00F23981" w:rsidRDefault="00590463" w:rsidP="006B07F8">
            <w:pPr>
              <w:ind w:right="26"/>
              <w:cnfStyle w:val="000000100000" w:firstRow="0" w:lastRow="0" w:firstColumn="0" w:lastColumn="0" w:oddVBand="0" w:evenVBand="0" w:oddHBand="1" w:evenHBand="0" w:firstRowFirstColumn="0" w:firstRowLastColumn="0" w:lastRowFirstColumn="0" w:lastRowLastColumn="0"/>
              <w:rPr>
                <w:rFonts w:cs="Arial"/>
                <w:b/>
                <w:szCs w:val="20"/>
              </w:rPr>
            </w:pPr>
            <w:r w:rsidRPr="00F23981">
              <w:rPr>
                <w:rFonts w:cs="Arial"/>
                <w:b/>
                <w:szCs w:val="20"/>
              </w:rPr>
              <w:t>AO</w:t>
            </w:r>
            <w:r>
              <w:rPr>
                <w:rFonts w:cs="Arial"/>
                <w:b/>
                <w:szCs w:val="20"/>
              </w:rPr>
              <w:t>3.3</w:t>
            </w:r>
          </w:p>
          <w:p w:rsidR="00590463" w:rsidRDefault="00590463" w:rsidP="006B07F8">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Buildings and structures are set back from property boundaries:</w:t>
            </w:r>
          </w:p>
          <w:p w:rsidR="00590463" w:rsidRDefault="00590463" w:rsidP="00837C56">
            <w:pPr>
              <w:ind w:left="409" w:hanging="409"/>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t>½ the height of the building or structure where adjacent a residential zone; or</w:t>
            </w:r>
          </w:p>
          <w:p w:rsidR="00590463" w:rsidRDefault="00590463" w:rsidP="00837C56">
            <w:pPr>
              <w:ind w:left="409" w:hanging="409"/>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w:t>
            </w:r>
            <w:r>
              <w:rPr>
                <w:rFonts w:cs="Arial"/>
                <w:szCs w:val="20"/>
              </w:rPr>
              <w:tab/>
              <w:t>¼ the height of the building or structure where adjacent any other zone.</w:t>
            </w:r>
          </w:p>
          <w:p w:rsidR="00590463" w:rsidRDefault="00590463" w:rsidP="00180F11">
            <w:pPr>
              <w:ind w:left="551" w:hanging="551"/>
              <w:cnfStyle w:val="000000100000" w:firstRow="0" w:lastRow="0" w:firstColumn="0" w:lastColumn="0" w:oddVBand="0" w:evenVBand="0" w:oddHBand="1" w:evenHBand="0" w:firstRowFirstColumn="0" w:firstRowLastColumn="0" w:lastRowFirstColumn="0" w:lastRowLastColumn="0"/>
              <w:rPr>
                <w:rFonts w:cs="Arial"/>
                <w:szCs w:val="20"/>
              </w:rPr>
            </w:pPr>
          </w:p>
          <w:p w:rsidR="00590463" w:rsidRDefault="00590463" w:rsidP="00180F11">
            <w:pPr>
              <w:ind w:left="551" w:hanging="55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Note - Height is inclusive of the roof height.</w:t>
            </w:r>
          </w:p>
          <w:p w:rsidR="00590463" w:rsidRDefault="00590463" w:rsidP="00180F11">
            <w:pPr>
              <w:ind w:left="551" w:hanging="55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90463" w:rsidRDefault="00590463" w:rsidP="00C76D96">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 xml:space="preserve">Note - </w:t>
            </w:r>
            <w:r w:rsidRPr="007B7B59">
              <w:rPr>
                <w:rFonts w:cs="Arial"/>
                <w:sz w:val="16"/>
                <w:szCs w:val="20"/>
              </w:rPr>
              <w:t>Figure</w:t>
            </w:r>
            <w:r>
              <w:rPr>
                <w:rFonts w:cs="Arial"/>
                <w:sz w:val="16"/>
                <w:szCs w:val="20"/>
              </w:rPr>
              <w:t>s</w:t>
            </w:r>
            <w:r w:rsidRPr="007B7B59">
              <w:rPr>
                <w:rFonts w:cs="Arial"/>
                <w:sz w:val="16"/>
                <w:szCs w:val="20"/>
              </w:rPr>
              <w:t xml:space="preserve"> </w:t>
            </w:r>
            <w:r>
              <w:rPr>
                <w:rFonts w:cs="Arial"/>
                <w:sz w:val="16"/>
                <w:szCs w:val="20"/>
              </w:rPr>
              <w:fldChar w:fldCharType="begin"/>
            </w:r>
            <w:r>
              <w:rPr>
                <w:rFonts w:cs="Arial"/>
                <w:sz w:val="16"/>
                <w:szCs w:val="20"/>
              </w:rPr>
              <w:instrText xml:space="preserve"> REF _Ref364953173 \r \h </w:instrText>
            </w:r>
            <w:r>
              <w:rPr>
                <w:rFonts w:cs="Arial"/>
                <w:sz w:val="16"/>
                <w:szCs w:val="20"/>
              </w:rPr>
            </w:r>
            <w:r>
              <w:rPr>
                <w:rFonts w:cs="Arial"/>
                <w:sz w:val="16"/>
                <w:szCs w:val="20"/>
              </w:rPr>
              <w:fldChar w:fldCharType="separate"/>
            </w:r>
            <w:r>
              <w:rPr>
                <w:rFonts w:cs="Arial"/>
                <w:sz w:val="16"/>
                <w:szCs w:val="20"/>
              </w:rPr>
              <w:t>7.2.8.4</w:t>
            </w:r>
            <w:r>
              <w:rPr>
                <w:rFonts w:cs="Arial"/>
                <w:sz w:val="16"/>
                <w:szCs w:val="20"/>
              </w:rPr>
              <w:fldChar w:fldCharType="end"/>
            </w:r>
            <w:r>
              <w:rPr>
                <w:rFonts w:cs="Arial"/>
                <w:sz w:val="16"/>
                <w:szCs w:val="20"/>
              </w:rPr>
              <w:t>.</w:t>
            </w:r>
            <w:r w:rsidRPr="007B7B59">
              <w:rPr>
                <w:rFonts w:cs="Arial"/>
                <w:sz w:val="16"/>
                <w:szCs w:val="20"/>
              </w:rPr>
              <w:t xml:space="preserve">a </w:t>
            </w:r>
            <w:r>
              <w:rPr>
                <w:rFonts w:cs="Arial"/>
                <w:sz w:val="16"/>
                <w:szCs w:val="20"/>
              </w:rPr>
              <w:t xml:space="preserve">and </w:t>
            </w:r>
            <w:r>
              <w:rPr>
                <w:rFonts w:cs="Arial"/>
                <w:sz w:val="16"/>
                <w:szCs w:val="20"/>
              </w:rPr>
              <w:fldChar w:fldCharType="begin"/>
            </w:r>
            <w:r>
              <w:rPr>
                <w:rFonts w:cs="Arial"/>
                <w:sz w:val="16"/>
                <w:szCs w:val="20"/>
              </w:rPr>
              <w:instrText xml:space="preserve"> REF _Ref364953173 \r \h </w:instrText>
            </w:r>
            <w:r>
              <w:rPr>
                <w:rFonts w:cs="Arial"/>
                <w:sz w:val="16"/>
                <w:szCs w:val="20"/>
              </w:rPr>
            </w:r>
            <w:r>
              <w:rPr>
                <w:rFonts w:cs="Arial"/>
                <w:sz w:val="16"/>
                <w:szCs w:val="20"/>
              </w:rPr>
              <w:fldChar w:fldCharType="separate"/>
            </w:r>
            <w:r>
              <w:rPr>
                <w:rFonts w:cs="Arial"/>
                <w:sz w:val="16"/>
                <w:szCs w:val="20"/>
              </w:rPr>
              <w:t>7.2.8.4</w:t>
            </w:r>
            <w:r>
              <w:rPr>
                <w:rFonts w:cs="Arial"/>
                <w:sz w:val="16"/>
                <w:szCs w:val="20"/>
              </w:rPr>
              <w:fldChar w:fldCharType="end"/>
            </w:r>
            <w:r>
              <w:rPr>
                <w:rFonts w:cs="Arial"/>
                <w:sz w:val="16"/>
                <w:szCs w:val="20"/>
              </w:rPr>
              <w:t xml:space="preserve">.b </w:t>
            </w:r>
            <w:r w:rsidRPr="007B7B59">
              <w:rPr>
                <w:rFonts w:cs="Arial"/>
                <w:sz w:val="16"/>
                <w:szCs w:val="20"/>
              </w:rPr>
              <w:t xml:space="preserve">provides visual guidance to the setback provisions for </w:t>
            </w:r>
            <w:r>
              <w:rPr>
                <w:rFonts w:cs="Arial"/>
                <w:sz w:val="16"/>
                <w:szCs w:val="20"/>
              </w:rPr>
              <w:t>buildings greater than four storeys</w:t>
            </w:r>
            <w:r w:rsidRPr="007B7B59">
              <w:rPr>
                <w:rFonts w:cs="Arial"/>
                <w:sz w:val="16"/>
                <w:szCs w:val="20"/>
              </w:rPr>
              <w:t>.</w:t>
            </w:r>
          </w:p>
          <w:p w:rsidR="00590463" w:rsidRDefault="00590463" w:rsidP="00C76D96">
            <w:pPr>
              <w:cnfStyle w:val="000000100000" w:firstRow="0" w:lastRow="0" w:firstColumn="0" w:lastColumn="0" w:oddVBand="0" w:evenVBand="0" w:oddHBand="1" w:evenHBand="0" w:firstRowFirstColumn="0" w:firstRowLastColumn="0" w:lastRowFirstColumn="0" w:lastRowLastColumn="0"/>
              <w:rPr>
                <w:rFonts w:cs="Arial"/>
                <w:sz w:val="16"/>
                <w:szCs w:val="20"/>
              </w:rPr>
            </w:pPr>
          </w:p>
          <w:p w:rsidR="00590463" w:rsidRPr="00C76D96" w:rsidRDefault="00590463" w:rsidP="00C76D9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cs="Arial"/>
                <w:sz w:val="16"/>
                <w:szCs w:val="20"/>
              </w:rPr>
              <w:t>Note – Refer to the definition of Residential zones contained in Schedule 1.2.</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F23981" w:rsidRDefault="00590463" w:rsidP="006B07F8">
            <w:pPr>
              <w:ind w:right="26"/>
              <w:rPr>
                <w:rFonts w:cs="Arial"/>
                <w:b/>
                <w:szCs w:val="20"/>
              </w:rPr>
            </w:pP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vMerge/>
          </w:tcPr>
          <w:p w:rsidR="00590463" w:rsidRDefault="00590463" w:rsidP="00773164">
            <w:pPr>
              <w:rPr>
                <w:rFonts w:cs="Arial"/>
                <w:b/>
                <w:szCs w:val="20"/>
              </w:rPr>
            </w:pPr>
          </w:p>
        </w:tc>
        <w:tc>
          <w:tcPr>
            <w:tcW w:w="1720" w:type="pct"/>
          </w:tcPr>
          <w:p w:rsidR="00590463" w:rsidRPr="00F23981" w:rsidRDefault="00590463" w:rsidP="006B07F8">
            <w:pPr>
              <w:cnfStyle w:val="000000000000" w:firstRow="0" w:lastRow="0" w:firstColumn="0" w:lastColumn="0" w:oddVBand="0" w:evenVBand="0" w:oddHBand="0" w:evenHBand="0" w:firstRowFirstColumn="0" w:firstRowLastColumn="0" w:lastRowFirstColumn="0" w:lastRowLastColumn="0"/>
              <w:rPr>
                <w:rFonts w:cs="Arial"/>
                <w:b/>
                <w:szCs w:val="20"/>
              </w:rPr>
            </w:pPr>
            <w:r w:rsidRPr="00F23981">
              <w:rPr>
                <w:rFonts w:cs="Arial"/>
                <w:b/>
                <w:szCs w:val="20"/>
              </w:rPr>
              <w:t>AO</w:t>
            </w:r>
            <w:r>
              <w:rPr>
                <w:rFonts w:cs="Arial"/>
                <w:b/>
                <w:szCs w:val="20"/>
              </w:rPr>
              <w:t>3.4</w:t>
            </w:r>
          </w:p>
          <w:p w:rsidR="00590463" w:rsidRDefault="00590463" w:rsidP="006B07F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Ground floors are activated through:</w:t>
            </w:r>
          </w:p>
          <w:p w:rsidR="00590463" w:rsidRDefault="00590463" w:rsidP="00837C56">
            <w:pPr>
              <w:ind w:left="409" w:hanging="409"/>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w:t>
            </w:r>
            <w:r>
              <w:rPr>
                <w:rFonts w:cs="Arial"/>
                <w:szCs w:val="20"/>
              </w:rPr>
              <w:tab/>
              <w:t>high quality landscaping affording comfort and meeting or recreating spaces;</w:t>
            </w:r>
          </w:p>
          <w:p w:rsidR="00590463" w:rsidRDefault="00590463" w:rsidP="00837C56">
            <w:pPr>
              <w:ind w:left="409" w:hanging="409"/>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(b)</w:t>
            </w:r>
            <w:r>
              <w:rPr>
                <w:rFonts w:cs="Arial"/>
                <w:szCs w:val="20"/>
              </w:rPr>
              <w:tab/>
              <w:t>land uses such as offices, shops or food and drink outlets.</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F23981" w:rsidRDefault="00590463" w:rsidP="006B07F8">
            <w:pPr>
              <w:rPr>
                <w:rFonts w:cs="Arial"/>
                <w:b/>
                <w:szCs w:val="20"/>
              </w:rPr>
            </w:pP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69428D">
            <w:pPr>
              <w:keepNext/>
              <w:rPr>
                <w:rFonts w:eastAsiaTheme="minorEastAsia" w:cs="Arial"/>
                <w:b/>
                <w:szCs w:val="20"/>
                <w:lang w:eastAsia="en-AU"/>
              </w:rPr>
            </w:pPr>
            <w:r w:rsidRPr="00453CC2">
              <w:rPr>
                <w:rFonts w:cs="Arial"/>
                <w:b/>
                <w:szCs w:val="20"/>
              </w:rPr>
              <w:lastRenderedPageBreak/>
              <w:t>PO</w:t>
            </w:r>
            <w:r>
              <w:rPr>
                <w:rFonts w:cs="Arial"/>
                <w:b/>
                <w:szCs w:val="20"/>
              </w:rPr>
              <w:t>4</w:t>
            </w:r>
          </w:p>
          <w:p w:rsidR="00590463" w:rsidRPr="00453CC2" w:rsidRDefault="00590463" w:rsidP="0069428D">
            <w:pPr>
              <w:keepNext/>
              <w:rPr>
                <w:rFonts w:eastAsiaTheme="minorEastAsia" w:cs="Arial"/>
                <w:szCs w:val="20"/>
                <w:lang w:eastAsia="en-AU"/>
              </w:rPr>
            </w:pPr>
            <w:r w:rsidRPr="00453CC2">
              <w:rPr>
                <w:rFonts w:cs="Arial"/>
                <w:szCs w:val="20"/>
              </w:rPr>
              <w:t xml:space="preserve">Development of </w:t>
            </w:r>
            <w:r>
              <w:rPr>
                <w:rFonts w:cs="Arial"/>
                <w:szCs w:val="20"/>
              </w:rPr>
              <w:t>g</w:t>
            </w:r>
            <w:r w:rsidRPr="00453CC2">
              <w:rPr>
                <w:rFonts w:cs="Arial"/>
                <w:szCs w:val="20"/>
              </w:rPr>
              <w:t xml:space="preserve">ateway </w:t>
            </w:r>
            <w:r>
              <w:rPr>
                <w:rFonts w:cs="Arial"/>
                <w:szCs w:val="20"/>
              </w:rPr>
              <w:t>s</w:t>
            </w:r>
            <w:r w:rsidRPr="00453CC2">
              <w:rPr>
                <w:rFonts w:cs="Arial"/>
                <w:szCs w:val="20"/>
              </w:rPr>
              <w:t xml:space="preserve">ites shown on </w:t>
            </w:r>
            <w:r>
              <w:rPr>
                <w:rFonts w:cs="Arial"/>
                <w:szCs w:val="20"/>
              </w:rPr>
              <w:t>the Smithfield local plan maps contained in Schedule 2</w:t>
            </w:r>
            <w:r w:rsidRPr="00453CC2">
              <w:rPr>
                <w:rFonts w:cs="Arial"/>
                <w:szCs w:val="20"/>
              </w:rPr>
              <w:t xml:space="preserve"> results in memorable architecture and distinctive developments in the local area through:</w:t>
            </w:r>
          </w:p>
          <w:p w:rsidR="00590463" w:rsidRPr="00453CC2" w:rsidRDefault="00590463" w:rsidP="00837C56">
            <w:pPr>
              <w:keepNext/>
              <w:ind w:left="426" w:hanging="426"/>
              <w:rPr>
                <w:rFonts w:eastAsiaTheme="minorEastAsia" w:cs="Arial"/>
                <w:szCs w:val="20"/>
                <w:lang w:eastAsia="en-AU"/>
              </w:rPr>
            </w:pPr>
            <w:r w:rsidRPr="00453CC2">
              <w:rPr>
                <w:rFonts w:cs="Arial"/>
                <w:szCs w:val="20"/>
              </w:rPr>
              <w:t>(a)</w:t>
            </w:r>
            <w:r w:rsidRPr="00453CC2">
              <w:rPr>
                <w:rFonts w:cs="Arial"/>
                <w:szCs w:val="20"/>
              </w:rPr>
              <w:tab/>
              <w:t>land use</w:t>
            </w:r>
            <w:r>
              <w:rPr>
                <w:rFonts w:cs="Arial"/>
                <w:szCs w:val="20"/>
              </w:rPr>
              <w:t>s</w:t>
            </w:r>
            <w:r w:rsidRPr="00453CC2">
              <w:rPr>
                <w:rFonts w:cs="Arial"/>
                <w:szCs w:val="20"/>
              </w:rPr>
              <w:t xml:space="preserve"> </w:t>
            </w:r>
            <w:r>
              <w:rPr>
                <w:rFonts w:cs="Arial"/>
                <w:szCs w:val="20"/>
              </w:rPr>
              <w:t>that contribute to the creation of the place;</w:t>
            </w:r>
          </w:p>
          <w:p w:rsidR="00590463" w:rsidRPr="00453CC2" w:rsidRDefault="00590463" w:rsidP="00837C56">
            <w:pPr>
              <w:keepNext/>
              <w:ind w:left="426" w:hanging="426"/>
              <w:rPr>
                <w:rFonts w:eastAsiaTheme="minorEastAsia" w:cs="Arial"/>
                <w:szCs w:val="20"/>
                <w:lang w:eastAsia="en-AU"/>
              </w:rPr>
            </w:pPr>
            <w:r w:rsidRPr="00453CC2">
              <w:rPr>
                <w:rFonts w:cs="Arial"/>
                <w:szCs w:val="20"/>
              </w:rPr>
              <w:t>(</w:t>
            </w:r>
            <w:r>
              <w:rPr>
                <w:rFonts w:cs="Arial"/>
                <w:szCs w:val="20"/>
              </w:rPr>
              <w:t>b</w:t>
            </w:r>
            <w:r w:rsidRPr="00453CC2">
              <w:rPr>
                <w:rFonts w:cs="Arial"/>
                <w:szCs w:val="20"/>
              </w:rPr>
              <w:t>)</w:t>
            </w:r>
            <w:r w:rsidRPr="00453CC2">
              <w:rPr>
                <w:rFonts w:cs="Arial"/>
                <w:szCs w:val="20"/>
              </w:rPr>
              <w:tab/>
              <w:t>active frontages to streets, pedestrian connections, public transport and other public spaces;</w:t>
            </w:r>
          </w:p>
          <w:p w:rsidR="00590463" w:rsidRPr="00453CC2" w:rsidRDefault="00590463" w:rsidP="00837C56">
            <w:pPr>
              <w:keepNext/>
              <w:ind w:left="426" w:hanging="426"/>
              <w:rPr>
                <w:rFonts w:eastAsiaTheme="minorEastAsia" w:cs="Arial"/>
                <w:szCs w:val="20"/>
                <w:lang w:eastAsia="en-AU"/>
              </w:rPr>
            </w:pPr>
            <w:r w:rsidRPr="00453CC2">
              <w:rPr>
                <w:rFonts w:cs="Arial"/>
                <w:szCs w:val="20"/>
              </w:rPr>
              <w:t>(</w:t>
            </w:r>
            <w:r>
              <w:rPr>
                <w:rFonts w:cs="Arial"/>
                <w:szCs w:val="20"/>
              </w:rPr>
              <w:t>c</w:t>
            </w:r>
            <w:r w:rsidRPr="00453CC2">
              <w:rPr>
                <w:rFonts w:cs="Arial"/>
                <w:szCs w:val="20"/>
              </w:rPr>
              <w:t>)</w:t>
            </w:r>
            <w:r w:rsidRPr="00453CC2">
              <w:rPr>
                <w:rFonts w:cs="Arial"/>
                <w:szCs w:val="20"/>
              </w:rPr>
              <w:tab/>
              <w:t>architectural features</w:t>
            </w:r>
            <w:r>
              <w:rPr>
                <w:rFonts w:cs="Arial"/>
                <w:szCs w:val="20"/>
              </w:rPr>
              <w:t xml:space="preserve"> that create a distinct or varied built form from buildings around it.</w:t>
            </w:r>
          </w:p>
        </w:tc>
        <w:tc>
          <w:tcPr>
            <w:tcW w:w="1720" w:type="pct"/>
          </w:tcPr>
          <w:p w:rsidR="00590463" w:rsidRPr="00453CC2" w:rsidRDefault="00590463" w:rsidP="0069428D">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453CC2">
              <w:rPr>
                <w:rFonts w:cs="Arial"/>
                <w:b/>
                <w:szCs w:val="20"/>
              </w:rPr>
              <w:t>AO</w:t>
            </w:r>
            <w:r>
              <w:rPr>
                <w:rFonts w:cs="Arial"/>
                <w:b/>
                <w:szCs w:val="20"/>
              </w:rPr>
              <w:t>4.1</w:t>
            </w:r>
          </w:p>
          <w:p w:rsidR="00590463" w:rsidRDefault="00590463" w:rsidP="0069428D">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Development on a gateway site:</w:t>
            </w:r>
          </w:p>
          <w:p w:rsidR="00590463" w:rsidRDefault="00590463" w:rsidP="00837C56">
            <w:pPr>
              <w:keepNext/>
              <w:ind w:left="409" w:hanging="409"/>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t>contains land uses that increases self-containment within the Cairns Northern Beaches;</w:t>
            </w:r>
          </w:p>
          <w:p w:rsidR="00590463" w:rsidRDefault="00590463" w:rsidP="00837C56">
            <w:pPr>
              <w:keepNext/>
              <w:ind w:left="409" w:hanging="409"/>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(b)</w:t>
            </w:r>
            <w:r>
              <w:rPr>
                <w:rFonts w:cs="Arial"/>
                <w:szCs w:val="20"/>
              </w:rPr>
              <w:tab/>
              <w:t>provides active frontages;</w:t>
            </w:r>
          </w:p>
          <w:p w:rsidR="00590463" w:rsidRDefault="00590463" w:rsidP="00837C56">
            <w:pPr>
              <w:keepNext/>
              <w:ind w:left="409" w:hanging="409"/>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w:t>
            </w:r>
            <w:r>
              <w:rPr>
                <w:rFonts w:cs="Arial"/>
                <w:szCs w:val="20"/>
              </w:rPr>
              <w:tab/>
              <w:t>is finished with architectural features</w:t>
            </w:r>
            <w:r w:rsidRPr="00453CC2">
              <w:rPr>
                <w:rFonts w:cs="Arial"/>
                <w:szCs w:val="20"/>
              </w:rPr>
              <w:t xml:space="preserve"> such as </w:t>
            </w:r>
            <w:r>
              <w:rPr>
                <w:rFonts w:cs="Arial"/>
                <w:szCs w:val="20"/>
              </w:rPr>
              <w:t xml:space="preserve">articulated </w:t>
            </w:r>
            <w:r w:rsidRPr="00453CC2">
              <w:rPr>
                <w:rFonts w:cs="Arial"/>
                <w:szCs w:val="20"/>
              </w:rPr>
              <w:t>roof profiles, parapets, awnings and balconies, tropical landscaping, and a range of building materials</w:t>
            </w:r>
            <w:r>
              <w:rPr>
                <w:rFonts w:cs="Arial"/>
                <w:szCs w:val="20"/>
              </w:rPr>
              <w:t xml:space="preserve">. </w:t>
            </w:r>
          </w:p>
          <w:p w:rsidR="00590463" w:rsidRDefault="00590463" w:rsidP="0069428D">
            <w:pPr>
              <w:keepNext/>
              <w:ind w:left="533" w:hanging="533"/>
              <w:cnfStyle w:val="000000100000" w:firstRow="0" w:lastRow="0" w:firstColumn="0" w:lastColumn="0" w:oddVBand="0" w:evenVBand="0" w:oddHBand="1" w:evenHBand="0" w:firstRowFirstColumn="0" w:firstRowLastColumn="0" w:lastRowFirstColumn="0" w:lastRowLastColumn="0"/>
              <w:rPr>
                <w:rFonts w:cs="Arial"/>
                <w:szCs w:val="20"/>
              </w:rPr>
            </w:pPr>
          </w:p>
          <w:p w:rsidR="00590463" w:rsidRPr="00B81A0D" w:rsidRDefault="00590463" w:rsidP="00B81A0D">
            <w:pPr>
              <w:keepNext/>
              <w:ind w:hanging="16"/>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r w:rsidRPr="00B81A0D">
              <w:rPr>
                <w:rFonts w:cs="Arial"/>
                <w:sz w:val="16"/>
                <w:szCs w:val="16"/>
              </w:rPr>
              <w:t>Note – Refer to the definition of Gateway site contained in Schedule 1.2.</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69428D">
            <w:pPr>
              <w:keepNext/>
              <w:rPr>
                <w:rFonts w:cs="Arial"/>
                <w:b/>
                <w:szCs w:val="20"/>
              </w:rPr>
            </w:pP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773164">
            <w:pPr>
              <w:rPr>
                <w:b/>
              </w:rPr>
            </w:pPr>
            <w:r>
              <w:rPr>
                <w:b/>
              </w:rPr>
              <w:t xml:space="preserve">Connectivity </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773164">
            <w:pPr>
              <w:rPr>
                <w:rFonts w:cs="Arial"/>
                <w:b/>
                <w:szCs w:val="20"/>
              </w:rPr>
            </w:pPr>
            <w:r w:rsidRPr="00453CC2">
              <w:rPr>
                <w:rFonts w:cs="Arial"/>
                <w:b/>
                <w:szCs w:val="20"/>
              </w:rPr>
              <w:t>PO</w:t>
            </w:r>
            <w:r>
              <w:rPr>
                <w:rFonts w:cs="Arial"/>
                <w:b/>
                <w:szCs w:val="20"/>
              </w:rPr>
              <w:t>5</w:t>
            </w:r>
          </w:p>
          <w:p w:rsidR="00590463" w:rsidRPr="00453CC2" w:rsidRDefault="00590463" w:rsidP="00A16EAF">
            <w:pPr>
              <w:rPr>
                <w:rFonts w:cs="Arial"/>
                <w:szCs w:val="20"/>
              </w:rPr>
            </w:pPr>
            <w:r w:rsidRPr="00453CC2">
              <w:rPr>
                <w:rFonts w:cs="Arial"/>
                <w:szCs w:val="20"/>
              </w:rPr>
              <w:t>Development delivers pedestrian, cycling and road connections in locations</w:t>
            </w:r>
            <w:r>
              <w:rPr>
                <w:rFonts w:cs="Arial"/>
                <w:szCs w:val="20"/>
              </w:rPr>
              <w:t xml:space="preserve"> identified on the Smithfield local plan maps contained in Schedule 2</w:t>
            </w:r>
            <w:r w:rsidRPr="00453CC2">
              <w:rPr>
                <w:rFonts w:cs="Arial"/>
                <w:szCs w:val="20"/>
              </w:rPr>
              <w:t>.</w:t>
            </w:r>
          </w:p>
        </w:tc>
        <w:tc>
          <w:tcPr>
            <w:tcW w:w="1720" w:type="pct"/>
          </w:tcPr>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b/>
                <w:szCs w:val="20"/>
              </w:rPr>
            </w:pPr>
            <w:r w:rsidRPr="00453CC2">
              <w:rPr>
                <w:rFonts w:cs="Arial"/>
                <w:b/>
                <w:szCs w:val="20"/>
              </w:rPr>
              <w:t>AO</w:t>
            </w:r>
            <w:r>
              <w:rPr>
                <w:rFonts w:cs="Arial"/>
                <w:b/>
                <w:szCs w:val="20"/>
              </w:rPr>
              <w:t>5.1</w:t>
            </w:r>
          </w:p>
          <w:p w:rsidR="00590463" w:rsidRDefault="00590463" w:rsidP="009C64DB">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773164">
            <w:pPr>
              <w:rPr>
                <w:rFonts w:cs="Arial"/>
                <w:b/>
                <w:szCs w:val="20"/>
              </w:rPr>
            </w:pP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4610D2">
            <w:pPr>
              <w:keepNext/>
              <w:rPr>
                <w:b/>
              </w:rPr>
            </w:pPr>
            <w:r>
              <w:rPr>
                <w:b/>
              </w:rPr>
              <w:t>Additional requirements for Precinct 1 – Smithfield Major centre</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563AF6">
            <w:pPr>
              <w:keepNext/>
              <w:rPr>
                <w:rFonts w:eastAsiaTheme="minorEastAsia" w:cs="Arial"/>
                <w:b/>
                <w:szCs w:val="20"/>
                <w:lang w:eastAsia="en-AU"/>
              </w:rPr>
            </w:pPr>
            <w:r w:rsidRPr="00453CC2">
              <w:rPr>
                <w:rFonts w:cs="Arial"/>
                <w:b/>
                <w:szCs w:val="20"/>
              </w:rPr>
              <w:t>PO</w:t>
            </w:r>
            <w:r>
              <w:rPr>
                <w:rFonts w:cs="Arial"/>
                <w:b/>
                <w:szCs w:val="20"/>
              </w:rPr>
              <w:t>6</w:t>
            </w:r>
          </w:p>
          <w:p w:rsidR="00590463" w:rsidRPr="00453CC2" w:rsidRDefault="00590463" w:rsidP="00563AF6">
            <w:pPr>
              <w:keepNext/>
              <w:rPr>
                <w:rFonts w:eastAsiaTheme="minorEastAsia" w:cs="Arial"/>
                <w:szCs w:val="20"/>
                <w:lang w:eastAsia="en-AU"/>
              </w:rPr>
            </w:pPr>
            <w:r w:rsidRPr="00453CC2">
              <w:rPr>
                <w:rFonts w:cs="Arial"/>
                <w:szCs w:val="20"/>
              </w:rPr>
              <w:t xml:space="preserve">Development within </w:t>
            </w:r>
            <w:r>
              <w:rPr>
                <w:rFonts w:cs="Arial"/>
                <w:szCs w:val="20"/>
              </w:rPr>
              <w:t xml:space="preserve">Precinct 1 - </w:t>
            </w:r>
            <w:r w:rsidRPr="0069428D">
              <w:rPr>
                <w:rFonts w:cs="Arial"/>
                <w:szCs w:val="20"/>
              </w:rPr>
              <w:t xml:space="preserve">Smithfield </w:t>
            </w:r>
            <w:r>
              <w:rPr>
                <w:rFonts w:cs="Arial"/>
                <w:szCs w:val="20"/>
              </w:rPr>
              <w:t>M</w:t>
            </w:r>
            <w:r w:rsidRPr="0069428D">
              <w:rPr>
                <w:rFonts w:cs="Arial"/>
                <w:szCs w:val="20"/>
              </w:rPr>
              <w:t>ajor centre</w:t>
            </w:r>
            <w:r w:rsidRPr="00453CC2">
              <w:rPr>
                <w:rFonts w:cs="Arial"/>
                <w:szCs w:val="20"/>
              </w:rPr>
              <w:t xml:space="preserve"> reinforces:</w:t>
            </w:r>
          </w:p>
          <w:p w:rsidR="00590463" w:rsidRPr="00453CC2" w:rsidRDefault="00590463" w:rsidP="00837C56">
            <w:pPr>
              <w:keepNext/>
              <w:ind w:left="426" w:hanging="426"/>
              <w:rPr>
                <w:rFonts w:eastAsiaTheme="minorEastAsia" w:cs="Arial"/>
                <w:szCs w:val="20"/>
                <w:lang w:eastAsia="en-AU"/>
              </w:rPr>
            </w:pPr>
            <w:r w:rsidRPr="00453CC2">
              <w:rPr>
                <w:rFonts w:cs="Arial"/>
                <w:szCs w:val="20"/>
              </w:rPr>
              <w:t>(a)</w:t>
            </w:r>
            <w:r w:rsidRPr="00453CC2">
              <w:rPr>
                <w:rFonts w:cs="Arial"/>
                <w:szCs w:val="20"/>
              </w:rPr>
              <w:tab/>
              <w:t xml:space="preserve">its role as the major anchor for employment and economic activity in </w:t>
            </w:r>
            <w:r>
              <w:rPr>
                <w:rFonts w:cs="Arial"/>
                <w:szCs w:val="20"/>
              </w:rPr>
              <w:t>the Cairns Northern Beaches;</w:t>
            </w:r>
          </w:p>
          <w:p w:rsidR="00590463" w:rsidRPr="00453CC2" w:rsidRDefault="00590463" w:rsidP="00837C56">
            <w:pPr>
              <w:keepNext/>
              <w:ind w:left="426" w:hanging="426"/>
              <w:rPr>
                <w:rFonts w:eastAsiaTheme="minorEastAsia" w:cs="Arial"/>
                <w:szCs w:val="20"/>
                <w:lang w:eastAsia="en-AU"/>
              </w:rPr>
            </w:pPr>
            <w:r w:rsidRPr="00453CC2">
              <w:rPr>
                <w:rFonts w:cs="Arial"/>
                <w:szCs w:val="20"/>
              </w:rPr>
              <w:t>(b)</w:t>
            </w:r>
            <w:r w:rsidRPr="00453CC2">
              <w:rPr>
                <w:rFonts w:cs="Arial"/>
                <w:szCs w:val="20"/>
              </w:rPr>
              <w:tab/>
              <w:t xml:space="preserve">Smithfield </w:t>
            </w:r>
            <w:r>
              <w:rPr>
                <w:rFonts w:cs="Arial"/>
                <w:szCs w:val="20"/>
              </w:rPr>
              <w:t>s</w:t>
            </w:r>
            <w:r w:rsidRPr="00453CC2">
              <w:rPr>
                <w:rFonts w:cs="Arial"/>
                <w:szCs w:val="20"/>
              </w:rPr>
              <w:t xml:space="preserve">hopping </w:t>
            </w:r>
            <w:r>
              <w:rPr>
                <w:rFonts w:cs="Arial"/>
                <w:szCs w:val="20"/>
              </w:rPr>
              <w:t>c</w:t>
            </w:r>
            <w:r w:rsidRPr="00453CC2">
              <w:rPr>
                <w:rFonts w:cs="Arial"/>
                <w:szCs w:val="20"/>
              </w:rPr>
              <w:t>entre is to remain the dominant retail centre for the Cairns Northern Beaches</w:t>
            </w:r>
            <w:r>
              <w:rPr>
                <w:rFonts w:cs="Arial"/>
                <w:szCs w:val="20"/>
              </w:rPr>
              <w:t>.</w:t>
            </w:r>
          </w:p>
        </w:tc>
        <w:tc>
          <w:tcPr>
            <w:tcW w:w="1720" w:type="pct"/>
          </w:tcPr>
          <w:p w:rsidR="00590463" w:rsidRPr="00453CC2" w:rsidRDefault="00590463" w:rsidP="00563AF6">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453CC2">
              <w:rPr>
                <w:rFonts w:cs="Arial"/>
                <w:b/>
                <w:szCs w:val="20"/>
              </w:rPr>
              <w:t>AO</w:t>
            </w:r>
            <w:r>
              <w:rPr>
                <w:rFonts w:cs="Arial"/>
                <w:b/>
                <w:szCs w:val="20"/>
              </w:rPr>
              <w:t>6.1</w:t>
            </w:r>
          </w:p>
          <w:p w:rsidR="00590463" w:rsidRDefault="00590463" w:rsidP="00563AF6">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590463" w:rsidRPr="00453CC2" w:rsidRDefault="00590463" w:rsidP="00563AF6">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563AF6">
            <w:pPr>
              <w:keepNext/>
              <w:rPr>
                <w:rFonts w:cs="Arial"/>
                <w:b/>
                <w:szCs w:val="20"/>
              </w:rPr>
            </w:pP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852711">
            <w:pPr>
              <w:rPr>
                <w:b/>
              </w:rPr>
            </w:pPr>
            <w:r>
              <w:rPr>
                <w:b/>
              </w:rPr>
              <w:t>Additional requirements for Sub-precinct 1a – Smithfield Shopping Centre</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773164">
            <w:pPr>
              <w:rPr>
                <w:rFonts w:cs="Arial"/>
                <w:b/>
                <w:szCs w:val="20"/>
              </w:rPr>
            </w:pPr>
            <w:r w:rsidRPr="00453CC2">
              <w:rPr>
                <w:rFonts w:cs="Arial"/>
                <w:b/>
                <w:szCs w:val="20"/>
              </w:rPr>
              <w:t>PO</w:t>
            </w:r>
            <w:r>
              <w:rPr>
                <w:rFonts w:cs="Arial"/>
                <w:b/>
                <w:szCs w:val="20"/>
              </w:rPr>
              <w:t>7</w:t>
            </w:r>
          </w:p>
          <w:p w:rsidR="00590463" w:rsidRPr="00453CC2" w:rsidRDefault="00590463" w:rsidP="00773164">
            <w:pPr>
              <w:rPr>
                <w:rFonts w:cs="Arial"/>
                <w:szCs w:val="20"/>
              </w:rPr>
            </w:pPr>
            <w:r w:rsidRPr="00453CC2">
              <w:rPr>
                <w:rFonts w:cs="Arial"/>
                <w:szCs w:val="20"/>
              </w:rPr>
              <w:t>Development</w:t>
            </w:r>
            <w:r>
              <w:rPr>
                <w:rFonts w:cs="Arial"/>
                <w:szCs w:val="20"/>
              </w:rPr>
              <w:t xml:space="preserve"> on the Smithfield Shopping Centre site ensures</w:t>
            </w:r>
            <w:r w:rsidRPr="00453CC2">
              <w:rPr>
                <w:rFonts w:cs="Arial"/>
                <w:szCs w:val="20"/>
              </w:rPr>
              <w:t>:</w:t>
            </w:r>
          </w:p>
          <w:p w:rsidR="00590463" w:rsidRDefault="00590463" w:rsidP="00837C56">
            <w:pPr>
              <w:ind w:left="426" w:hanging="426"/>
              <w:rPr>
                <w:rFonts w:cs="Arial"/>
                <w:szCs w:val="20"/>
              </w:rPr>
            </w:pPr>
            <w:r w:rsidRPr="00453CC2">
              <w:rPr>
                <w:rFonts w:cs="Arial"/>
                <w:szCs w:val="20"/>
              </w:rPr>
              <w:t>(a)</w:t>
            </w:r>
            <w:r w:rsidRPr="00453CC2">
              <w:rPr>
                <w:rFonts w:cs="Arial"/>
                <w:szCs w:val="20"/>
              </w:rPr>
              <w:tab/>
              <w:t xml:space="preserve">the diversification of employment to incorporate professional business and </w:t>
            </w:r>
            <w:r w:rsidRPr="00453CC2">
              <w:rPr>
                <w:rFonts w:cs="Arial"/>
                <w:szCs w:val="20"/>
              </w:rPr>
              <w:lastRenderedPageBreak/>
              <w:t>services within buildings up to four storeys</w:t>
            </w:r>
            <w:r>
              <w:rPr>
                <w:rFonts w:cs="Arial"/>
                <w:szCs w:val="20"/>
              </w:rPr>
              <w:t>, over time in line with demand</w:t>
            </w:r>
            <w:r w:rsidRPr="00453CC2">
              <w:rPr>
                <w:rFonts w:cs="Arial"/>
                <w:szCs w:val="20"/>
              </w:rPr>
              <w:t>;</w:t>
            </w:r>
          </w:p>
          <w:p w:rsidR="00590463" w:rsidRDefault="00590463" w:rsidP="00837C56">
            <w:pPr>
              <w:ind w:left="426" w:hanging="426"/>
              <w:rPr>
                <w:rFonts w:cs="Arial"/>
                <w:szCs w:val="20"/>
              </w:rPr>
            </w:pPr>
            <w:r>
              <w:rPr>
                <w:rFonts w:cs="Arial"/>
                <w:szCs w:val="20"/>
              </w:rPr>
              <w:t>(b)</w:t>
            </w:r>
            <w:r>
              <w:rPr>
                <w:rFonts w:cs="Arial"/>
                <w:szCs w:val="20"/>
              </w:rPr>
              <w:tab/>
            </w:r>
            <w:r w:rsidRPr="00453CC2">
              <w:rPr>
                <w:rFonts w:cs="Arial"/>
                <w:szCs w:val="20"/>
              </w:rPr>
              <w:t xml:space="preserve">the emergence of </w:t>
            </w:r>
            <w:r>
              <w:rPr>
                <w:rFonts w:cs="Arial"/>
                <w:szCs w:val="20"/>
              </w:rPr>
              <w:t xml:space="preserve">a </w:t>
            </w:r>
            <w:r w:rsidRPr="00453CC2">
              <w:rPr>
                <w:rFonts w:cs="Arial"/>
                <w:szCs w:val="20"/>
              </w:rPr>
              <w:t>dominant entertainment and night time activit</w:t>
            </w:r>
            <w:r>
              <w:rPr>
                <w:rFonts w:cs="Arial"/>
                <w:szCs w:val="20"/>
              </w:rPr>
              <w:t>y precinct</w:t>
            </w:r>
            <w:r w:rsidRPr="00453CC2">
              <w:rPr>
                <w:rFonts w:cs="Arial"/>
                <w:szCs w:val="20"/>
              </w:rPr>
              <w:t>;</w:t>
            </w:r>
          </w:p>
          <w:p w:rsidR="00590463" w:rsidRPr="00453CC2" w:rsidRDefault="00590463" w:rsidP="00837C56">
            <w:pPr>
              <w:ind w:left="426" w:hanging="426"/>
              <w:rPr>
                <w:rFonts w:cs="Arial"/>
                <w:szCs w:val="20"/>
              </w:rPr>
            </w:pPr>
            <w:r w:rsidRPr="00453CC2">
              <w:rPr>
                <w:rFonts w:cs="Arial"/>
                <w:szCs w:val="20"/>
              </w:rPr>
              <w:t>(</w:t>
            </w:r>
            <w:r>
              <w:rPr>
                <w:rFonts w:cs="Arial"/>
                <w:szCs w:val="20"/>
              </w:rPr>
              <w:t>c</w:t>
            </w:r>
            <w:r w:rsidRPr="00453CC2">
              <w:rPr>
                <w:rFonts w:cs="Arial"/>
                <w:szCs w:val="20"/>
              </w:rPr>
              <w:t>)</w:t>
            </w:r>
            <w:r w:rsidRPr="00453CC2">
              <w:rPr>
                <w:rFonts w:cs="Arial"/>
                <w:szCs w:val="20"/>
              </w:rPr>
              <w:tab/>
              <w:t>a gateway development is achieved on the south-east corner of the site.</w:t>
            </w:r>
          </w:p>
          <w:p w:rsidR="00590463" w:rsidRPr="00453CC2" w:rsidRDefault="00590463" w:rsidP="00837C56">
            <w:pPr>
              <w:ind w:left="426" w:hanging="426"/>
              <w:rPr>
                <w:rFonts w:cs="Arial"/>
                <w:szCs w:val="20"/>
              </w:rPr>
            </w:pPr>
            <w:r w:rsidRPr="00453CC2">
              <w:rPr>
                <w:rFonts w:cs="Arial"/>
                <w:szCs w:val="20"/>
              </w:rPr>
              <w:t>(</w:t>
            </w:r>
            <w:r>
              <w:rPr>
                <w:rFonts w:cs="Arial"/>
                <w:szCs w:val="20"/>
              </w:rPr>
              <w:t>d</w:t>
            </w:r>
            <w:r w:rsidRPr="00453CC2">
              <w:rPr>
                <w:rFonts w:cs="Arial"/>
                <w:szCs w:val="20"/>
              </w:rPr>
              <w:t>)</w:t>
            </w:r>
            <w:r w:rsidRPr="00453CC2">
              <w:rPr>
                <w:rFonts w:cs="Arial"/>
                <w:szCs w:val="20"/>
              </w:rPr>
              <w:tab/>
              <w:t>active frontages and design for pedestrian and vehicle environments at the outer edges of buildings;</w:t>
            </w:r>
          </w:p>
          <w:p w:rsidR="00590463" w:rsidRPr="00453CC2" w:rsidRDefault="00590463" w:rsidP="00837C56">
            <w:pPr>
              <w:ind w:left="426" w:hanging="426"/>
              <w:rPr>
                <w:rFonts w:cs="Arial"/>
                <w:szCs w:val="20"/>
              </w:rPr>
            </w:pPr>
            <w:r w:rsidRPr="00453CC2">
              <w:rPr>
                <w:rFonts w:cs="Arial"/>
                <w:szCs w:val="20"/>
              </w:rPr>
              <w:t>(</w:t>
            </w:r>
            <w:r>
              <w:rPr>
                <w:rFonts w:cs="Arial"/>
                <w:szCs w:val="20"/>
              </w:rPr>
              <w:t>e</w:t>
            </w:r>
            <w:r w:rsidRPr="00453CC2">
              <w:rPr>
                <w:rFonts w:cs="Arial"/>
                <w:szCs w:val="20"/>
              </w:rPr>
              <w:t>)</w:t>
            </w:r>
            <w:r w:rsidRPr="00453CC2">
              <w:rPr>
                <w:rFonts w:cs="Arial"/>
                <w:szCs w:val="20"/>
              </w:rPr>
              <w:tab/>
              <w:t>consolidation of car parking in multi-storey structures;</w:t>
            </w:r>
          </w:p>
          <w:p w:rsidR="00590463" w:rsidRPr="00453CC2" w:rsidRDefault="00590463" w:rsidP="00837C56">
            <w:pPr>
              <w:ind w:left="426" w:hanging="426"/>
              <w:rPr>
                <w:rFonts w:cs="Arial"/>
                <w:szCs w:val="20"/>
              </w:rPr>
            </w:pPr>
            <w:r w:rsidRPr="00453CC2">
              <w:rPr>
                <w:rFonts w:cs="Arial"/>
                <w:szCs w:val="20"/>
              </w:rPr>
              <w:t>(</w:t>
            </w:r>
            <w:r>
              <w:rPr>
                <w:rFonts w:cs="Arial"/>
                <w:szCs w:val="20"/>
              </w:rPr>
              <w:t>f</w:t>
            </w:r>
            <w:r w:rsidRPr="00453CC2">
              <w:rPr>
                <w:rFonts w:cs="Arial"/>
                <w:szCs w:val="20"/>
              </w:rPr>
              <w:t>)</w:t>
            </w:r>
            <w:r w:rsidRPr="00453CC2">
              <w:rPr>
                <w:rFonts w:cs="Arial"/>
                <w:szCs w:val="20"/>
              </w:rPr>
              <w:tab/>
              <w:t>built form and entry points addresses and enhances connections to existing communities;</w:t>
            </w:r>
          </w:p>
          <w:p w:rsidR="00590463" w:rsidRPr="00453CC2" w:rsidRDefault="00590463" w:rsidP="00837C56">
            <w:pPr>
              <w:ind w:left="426" w:hanging="426"/>
              <w:rPr>
                <w:rFonts w:cs="Arial"/>
                <w:szCs w:val="20"/>
              </w:rPr>
            </w:pPr>
            <w:r w:rsidRPr="00453CC2">
              <w:rPr>
                <w:rFonts w:cs="Arial"/>
                <w:szCs w:val="20"/>
              </w:rPr>
              <w:t>(</w:t>
            </w:r>
            <w:r>
              <w:rPr>
                <w:rFonts w:cs="Arial"/>
                <w:szCs w:val="20"/>
              </w:rPr>
              <w:t>g</w:t>
            </w:r>
            <w:r w:rsidRPr="00453CC2">
              <w:rPr>
                <w:rFonts w:cs="Arial"/>
                <w:szCs w:val="20"/>
              </w:rPr>
              <w:t>)</w:t>
            </w:r>
            <w:r w:rsidRPr="00453CC2">
              <w:rPr>
                <w:rFonts w:cs="Arial"/>
                <w:szCs w:val="20"/>
              </w:rPr>
              <w:tab/>
              <w:t xml:space="preserve">public transport facilities </w:t>
            </w:r>
            <w:r>
              <w:rPr>
                <w:rFonts w:cs="Arial"/>
                <w:szCs w:val="20"/>
              </w:rPr>
              <w:t>are</w:t>
            </w:r>
            <w:r w:rsidRPr="00453CC2">
              <w:rPr>
                <w:rFonts w:cs="Arial"/>
                <w:szCs w:val="20"/>
              </w:rPr>
              <w:t xml:space="preserve"> integrated into design of future structures.</w:t>
            </w:r>
          </w:p>
        </w:tc>
        <w:tc>
          <w:tcPr>
            <w:tcW w:w="1720" w:type="pct"/>
          </w:tcPr>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b/>
                <w:szCs w:val="20"/>
              </w:rPr>
            </w:pPr>
            <w:r w:rsidRPr="00453CC2">
              <w:rPr>
                <w:rFonts w:cs="Arial"/>
                <w:b/>
                <w:szCs w:val="20"/>
              </w:rPr>
              <w:lastRenderedPageBreak/>
              <w:t>AO</w:t>
            </w:r>
            <w:r>
              <w:rPr>
                <w:rFonts w:cs="Arial"/>
                <w:b/>
                <w:szCs w:val="20"/>
              </w:rPr>
              <w:t>7.1</w:t>
            </w:r>
          </w:p>
          <w:p w:rsidR="00590463" w:rsidRDefault="00590463" w:rsidP="009C64DB">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773164">
            <w:pPr>
              <w:rPr>
                <w:rFonts w:cs="Arial"/>
                <w:b/>
                <w:szCs w:val="20"/>
              </w:rPr>
            </w:pP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837C56">
            <w:pPr>
              <w:keepNext/>
              <w:rPr>
                <w:b/>
              </w:rPr>
            </w:pPr>
            <w:r>
              <w:rPr>
                <w:b/>
              </w:rPr>
              <w:t>Additional requirements for Sub-precinct 1b – Employment</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837C56">
            <w:pPr>
              <w:keepNext/>
              <w:rPr>
                <w:rFonts w:cs="Arial"/>
                <w:b/>
                <w:szCs w:val="20"/>
              </w:rPr>
            </w:pPr>
            <w:r w:rsidRPr="00453CC2">
              <w:rPr>
                <w:rFonts w:cs="Arial"/>
                <w:b/>
                <w:szCs w:val="20"/>
              </w:rPr>
              <w:t>PO</w:t>
            </w:r>
            <w:r>
              <w:rPr>
                <w:rFonts w:cs="Arial"/>
                <w:b/>
                <w:szCs w:val="20"/>
              </w:rPr>
              <w:t>8</w:t>
            </w:r>
          </w:p>
          <w:p w:rsidR="00590463" w:rsidRPr="00453CC2" w:rsidRDefault="00590463" w:rsidP="00837C56">
            <w:pPr>
              <w:keepNext/>
              <w:rPr>
                <w:rFonts w:cs="Arial"/>
                <w:szCs w:val="20"/>
              </w:rPr>
            </w:pPr>
            <w:r w:rsidRPr="00453CC2">
              <w:rPr>
                <w:rFonts w:cs="Arial"/>
                <w:szCs w:val="20"/>
              </w:rPr>
              <w:t xml:space="preserve">Land to the east of the Captain Cook Highway </w:t>
            </w:r>
            <w:r>
              <w:rPr>
                <w:rFonts w:cs="Arial"/>
                <w:szCs w:val="20"/>
              </w:rPr>
              <w:t xml:space="preserve">is </w:t>
            </w:r>
            <w:r w:rsidRPr="00453CC2">
              <w:rPr>
                <w:rFonts w:cs="Arial"/>
                <w:szCs w:val="20"/>
              </w:rPr>
              <w:t>use</w:t>
            </w:r>
            <w:r>
              <w:rPr>
                <w:rFonts w:cs="Arial"/>
                <w:szCs w:val="20"/>
              </w:rPr>
              <w:t xml:space="preserve">d </w:t>
            </w:r>
            <w:r w:rsidRPr="00453CC2">
              <w:rPr>
                <w:rFonts w:cs="Arial"/>
                <w:szCs w:val="20"/>
              </w:rPr>
              <w:t>efficiently and consolidates expansive car parking areas for more efficient buildings and use of land without diminishing car parking need.</w:t>
            </w:r>
          </w:p>
        </w:tc>
        <w:tc>
          <w:tcPr>
            <w:tcW w:w="1720" w:type="pct"/>
          </w:tcPr>
          <w:p w:rsidR="00590463" w:rsidRPr="00453CC2" w:rsidRDefault="00590463" w:rsidP="00837C56">
            <w:pPr>
              <w:keepNext/>
              <w:cnfStyle w:val="000000100000" w:firstRow="0" w:lastRow="0" w:firstColumn="0" w:lastColumn="0" w:oddVBand="0" w:evenVBand="0" w:oddHBand="1" w:evenHBand="0" w:firstRowFirstColumn="0" w:firstRowLastColumn="0" w:lastRowFirstColumn="0" w:lastRowLastColumn="0"/>
              <w:rPr>
                <w:rFonts w:cs="Arial"/>
                <w:b/>
                <w:szCs w:val="20"/>
              </w:rPr>
            </w:pPr>
            <w:r w:rsidRPr="00453CC2">
              <w:rPr>
                <w:rFonts w:cs="Arial"/>
                <w:b/>
                <w:szCs w:val="20"/>
              </w:rPr>
              <w:t>AO</w:t>
            </w:r>
            <w:r>
              <w:rPr>
                <w:rFonts w:cs="Arial"/>
                <w:b/>
                <w:szCs w:val="20"/>
              </w:rPr>
              <w:t>8.1</w:t>
            </w:r>
          </w:p>
          <w:p w:rsidR="00590463" w:rsidRDefault="00590463" w:rsidP="00837C56">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837C56">
            <w:pPr>
              <w:keepNext/>
              <w:cnfStyle w:val="000000100000" w:firstRow="0" w:lastRow="0" w:firstColumn="0" w:lastColumn="0" w:oddVBand="0" w:evenVBand="0" w:oddHBand="1"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837C56">
            <w:pPr>
              <w:keepNext/>
              <w:rPr>
                <w:rFonts w:cs="Arial"/>
                <w:b/>
                <w:szCs w:val="20"/>
              </w:rPr>
            </w:pPr>
          </w:p>
        </w:tc>
      </w:tr>
      <w:tr w:rsidR="00590463" w:rsidRPr="00621988" w:rsidTr="00590463">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477FC1">
            <w:pPr>
              <w:rPr>
                <w:b/>
              </w:rPr>
            </w:pPr>
            <w:r>
              <w:rPr>
                <w:b/>
              </w:rPr>
              <w:t xml:space="preserve">Additional requirements for Precinct 2 – James Cook University </w:t>
            </w:r>
          </w:p>
        </w:tc>
      </w:tr>
      <w:tr w:rsidR="00590463" w:rsidRPr="007649B2"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773164">
            <w:pPr>
              <w:rPr>
                <w:rFonts w:cs="Arial"/>
                <w:b/>
                <w:szCs w:val="20"/>
                <w:lang w:val="en-GB"/>
              </w:rPr>
            </w:pPr>
            <w:r w:rsidRPr="00453CC2">
              <w:rPr>
                <w:rFonts w:cs="Arial"/>
                <w:b/>
                <w:szCs w:val="20"/>
                <w:lang w:val="en-GB"/>
              </w:rPr>
              <w:t>PO</w:t>
            </w:r>
            <w:r>
              <w:rPr>
                <w:rFonts w:cs="Arial"/>
                <w:b/>
                <w:szCs w:val="20"/>
                <w:lang w:val="en-GB"/>
              </w:rPr>
              <w:t>9</w:t>
            </w:r>
          </w:p>
          <w:p w:rsidR="00590463" w:rsidRPr="00453CC2" w:rsidRDefault="00590463" w:rsidP="00773164">
            <w:pPr>
              <w:rPr>
                <w:rFonts w:cs="Arial"/>
                <w:szCs w:val="20"/>
                <w:lang w:val="en-GB"/>
              </w:rPr>
            </w:pPr>
            <w:r w:rsidRPr="00453CC2">
              <w:rPr>
                <w:rFonts w:cs="Arial"/>
                <w:szCs w:val="20"/>
                <w:lang w:val="en-GB"/>
              </w:rPr>
              <w:t>Development contributes to the achievement of a distinct education, professional service and community infrastructure precinct through the following outcomes:</w:t>
            </w:r>
          </w:p>
          <w:p w:rsidR="00590463" w:rsidRPr="00477FC1" w:rsidRDefault="00590463" w:rsidP="00837C56">
            <w:pPr>
              <w:ind w:left="426" w:hanging="426"/>
              <w:rPr>
                <w:rFonts w:cs="Arial"/>
                <w:szCs w:val="20"/>
                <w:lang w:val="en-GB"/>
              </w:rPr>
            </w:pPr>
            <w:r>
              <w:rPr>
                <w:rFonts w:cs="Arial"/>
                <w:szCs w:val="20"/>
                <w:lang w:val="en-GB"/>
              </w:rPr>
              <w:t>(a)</w:t>
            </w:r>
            <w:r>
              <w:rPr>
                <w:rFonts w:cs="Arial"/>
                <w:szCs w:val="20"/>
                <w:lang w:val="en-GB"/>
              </w:rPr>
              <w:tab/>
              <w:t>e</w:t>
            </w:r>
            <w:r w:rsidRPr="00477FC1">
              <w:rPr>
                <w:rFonts w:cs="Arial"/>
                <w:szCs w:val="20"/>
                <w:lang w:val="en-GB"/>
              </w:rPr>
              <w:t>stablishment, use or delivery of infrastructure is for use by the wider community;</w:t>
            </w:r>
          </w:p>
          <w:p w:rsidR="00590463" w:rsidRPr="00477FC1" w:rsidRDefault="00590463" w:rsidP="00837C56">
            <w:pPr>
              <w:ind w:left="426" w:hanging="426"/>
              <w:rPr>
                <w:rFonts w:cs="Arial"/>
                <w:szCs w:val="20"/>
                <w:lang w:val="en-GB"/>
              </w:rPr>
            </w:pPr>
            <w:r>
              <w:rPr>
                <w:rFonts w:cs="Arial"/>
                <w:szCs w:val="20"/>
                <w:lang w:val="en-GB"/>
              </w:rPr>
              <w:t>(b)</w:t>
            </w:r>
            <w:r>
              <w:rPr>
                <w:rFonts w:cs="Arial"/>
                <w:szCs w:val="20"/>
                <w:lang w:val="en-GB"/>
              </w:rPr>
              <w:tab/>
            </w:r>
            <w:r w:rsidRPr="00477FC1">
              <w:rPr>
                <w:rFonts w:cs="Arial"/>
                <w:szCs w:val="20"/>
                <w:lang w:val="en-GB"/>
              </w:rPr>
              <w:t>professional businesses, services and small-scale retail and activity uses establish adjacent to McGregor Road;</w:t>
            </w:r>
          </w:p>
          <w:p w:rsidR="00590463" w:rsidRPr="00477FC1" w:rsidRDefault="00590463" w:rsidP="00837C56">
            <w:pPr>
              <w:ind w:left="426" w:hanging="426"/>
              <w:rPr>
                <w:rFonts w:cs="Arial"/>
                <w:szCs w:val="20"/>
                <w:lang w:val="en-GB"/>
              </w:rPr>
            </w:pPr>
            <w:r>
              <w:rPr>
                <w:rFonts w:cs="Arial"/>
                <w:szCs w:val="20"/>
                <w:lang w:val="en-GB"/>
              </w:rPr>
              <w:lastRenderedPageBreak/>
              <w:t>(c)</w:t>
            </w:r>
            <w:r>
              <w:rPr>
                <w:rFonts w:cs="Arial"/>
                <w:szCs w:val="20"/>
                <w:lang w:val="en-GB"/>
              </w:rPr>
              <w:tab/>
            </w:r>
            <w:r w:rsidRPr="00477FC1">
              <w:rPr>
                <w:rFonts w:cs="Arial"/>
                <w:szCs w:val="20"/>
                <w:lang w:val="en-GB"/>
              </w:rPr>
              <w:t>residential and accommodation activities establish in proximity to public transport, education facilities and centres;</w:t>
            </w:r>
          </w:p>
          <w:p w:rsidR="00590463" w:rsidRPr="00477FC1" w:rsidRDefault="00590463" w:rsidP="00837C56">
            <w:pPr>
              <w:ind w:left="426" w:hanging="426"/>
              <w:rPr>
                <w:rFonts w:cs="Arial"/>
                <w:szCs w:val="20"/>
                <w:lang w:val="en-GB"/>
              </w:rPr>
            </w:pPr>
            <w:r>
              <w:rPr>
                <w:rFonts w:cs="Arial"/>
                <w:szCs w:val="20"/>
                <w:lang w:val="en-GB"/>
              </w:rPr>
              <w:t>(d)</w:t>
            </w:r>
            <w:r>
              <w:rPr>
                <w:rFonts w:cs="Arial"/>
                <w:szCs w:val="20"/>
                <w:lang w:val="en-GB"/>
              </w:rPr>
              <w:tab/>
            </w:r>
            <w:r w:rsidRPr="00477FC1">
              <w:rPr>
                <w:rFonts w:cs="Arial"/>
                <w:szCs w:val="20"/>
                <w:lang w:val="en-GB"/>
              </w:rPr>
              <w:t>opportunity for major public infrastructure to establish between the Captain Cook Highway and the University is capitalised upon.</w:t>
            </w:r>
          </w:p>
        </w:tc>
        <w:tc>
          <w:tcPr>
            <w:tcW w:w="1720" w:type="pct"/>
          </w:tcPr>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b/>
                <w:szCs w:val="20"/>
              </w:rPr>
            </w:pPr>
            <w:r w:rsidRPr="00453CC2">
              <w:rPr>
                <w:rFonts w:cs="Arial"/>
                <w:b/>
                <w:szCs w:val="20"/>
              </w:rPr>
              <w:lastRenderedPageBreak/>
              <w:t>AO</w:t>
            </w:r>
            <w:r>
              <w:rPr>
                <w:rFonts w:cs="Arial"/>
                <w:b/>
                <w:szCs w:val="20"/>
              </w:rPr>
              <w:t>9.1</w:t>
            </w:r>
          </w:p>
          <w:p w:rsidR="00590463" w:rsidRDefault="00590463" w:rsidP="009C64DB">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773164">
            <w:pPr>
              <w:cnfStyle w:val="000000100000" w:firstRow="0" w:lastRow="0" w:firstColumn="0" w:lastColumn="0" w:oddVBand="0" w:evenVBand="0" w:oddHBand="1"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773164">
            <w:pPr>
              <w:rPr>
                <w:rFonts w:cs="Arial"/>
                <w:b/>
                <w:szCs w:val="20"/>
              </w:rPr>
            </w:pP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773164">
            <w:pPr>
              <w:rPr>
                <w:rFonts w:cs="Arial"/>
                <w:b/>
                <w:szCs w:val="20"/>
                <w:lang w:val="en-GB"/>
              </w:rPr>
            </w:pPr>
            <w:r w:rsidRPr="00453CC2">
              <w:rPr>
                <w:rFonts w:cs="Arial"/>
                <w:b/>
                <w:szCs w:val="20"/>
                <w:lang w:val="en-GB"/>
              </w:rPr>
              <w:t>PO</w:t>
            </w:r>
            <w:r>
              <w:rPr>
                <w:rFonts w:cs="Arial"/>
                <w:b/>
                <w:szCs w:val="20"/>
                <w:lang w:val="en-GB"/>
              </w:rPr>
              <w:t>10</w:t>
            </w:r>
          </w:p>
          <w:p w:rsidR="00590463" w:rsidRPr="00453CC2" w:rsidRDefault="00590463" w:rsidP="00773164">
            <w:pPr>
              <w:rPr>
                <w:rFonts w:cs="Arial"/>
                <w:szCs w:val="20"/>
              </w:rPr>
            </w:pPr>
            <w:r w:rsidRPr="00453CC2">
              <w:rPr>
                <w:rFonts w:cs="Arial"/>
                <w:szCs w:val="20"/>
              </w:rPr>
              <w:t>Development on the Smithfield Campus Shopping Village Centre site capitalises on opportunity for renewal and establish</w:t>
            </w:r>
            <w:r>
              <w:rPr>
                <w:rFonts w:cs="Arial"/>
                <w:szCs w:val="20"/>
              </w:rPr>
              <w:t>es</w:t>
            </w:r>
            <w:r w:rsidRPr="00453CC2">
              <w:rPr>
                <w:rFonts w:cs="Arial"/>
                <w:szCs w:val="20"/>
              </w:rPr>
              <w:t xml:space="preserve"> a mix of business, entertainment and, or accommodation activities in multi-storey developments.</w:t>
            </w:r>
          </w:p>
        </w:tc>
        <w:tc>
          <w:tcPr>
            <w:tcW w:w="1720" w:type="pct"/>
          </w:tcPr>
          <w:p w:rsidR="00590463" w:rsidRPr="00453CC2" w:rsidRDefault="00590463" w:rsidP="00773164">
            <w:pPr>
              <w:cnfStyle w:val="000000000000" w:firstRow="0" w:lastRow="0" w:firstColumn="0" w:lastColumn="0" w:oddVBand="0" w:evenVBand="0" w:oddHBand="0" w:evenHBand="0" w:firstRowFirstColumn="0" w:firstRowLastColumn="0" w:lastRowFirstColumn="0" w:lastRowLastColumn="0"/>
              <w:rPr>
                <w:rFonts w:cs="Arial"/>
                <w:b/>
                <w:szCs w:val="20"/>
              </w:rPr>
            </w:pPr>
            <w:r w:rsidRPr="00453CC2">
              <w:rPr>
                <w:rFonts w:cs="Arial"/>
                <w:b/>
                <w:szCs w:val="20"/>
              </w:rPr>
              <w:t>AO</w:t>
            </w:r>
            <w:r>
              <w:rPr>
                <w:rFonts w:cs="Arial"/>
                <w:b/>
                <w:szCs w:val="20"/>
              </w:rPr>
              <w:t>10.1</w:t>
            </w:r>
          </w:p>
          <w:p w:rsidR="00590463" w:rsidRDefault="00590463"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773164">
            <w:pPr>
              <w:cnfStyle w:val="000000000000" w:firstRow="0" w:lastRow="0" w:firstColumn="0" w:lastColumn="0" w:oddVBand="0" w:evenVBand="0" w:oddHBand="0"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773164">
            <w:pPr>
              <w:rPr>
                <w:rFonts w:cs="Arial"/>
                <w:b/>
                <w:szCs w:val="20"/>
              </w:rPr>
            </w:pPr>
          </w:p>
        </w:tc>
      </w:tr>
      <w:tr w:rsidR="00590463" w:rsidRPr="00621988"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9058A6">
            <w:pPr>
              <w:rPr>
                <w:b/>
              </w:rPr>
            </w:pPr>
            <w:r>
              <w:rPr>
                <w:b/>
              </w:rPr>
              <w:t xml:space="preserve">Additional requirements for Precinct 3 – Future employment </w:t>
            </w: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Pr="00180F11" w:rsidRDefault="00590463" w:rsidP="00773164">
            <w:pPr>
              <w:rPr>
                <w:rFonts w:cs="Arial"/>
                <w:b/>
                <w:szCs w:val="20"/>
              </w:rPr>
            </w:pPr>
            <w:r w:rsidRPr="00180F11">
              <w:rPr>
                <w:rFonts w:cs="Arial"/>
                <w:b/>
                <w:szCs w:val="20"/>
              </w:rPr>
              <w:t>PO</w:t>
            </w:r>
            <w:r>
              <w:rPr>
                <w:rFonts w:cs="Arial"/>
                <w:b/>
                <w:szCs w:val="20"/>
              </w:rPr>
              <w:t>11</w:t>
            </w:r>
          </w:p>
          <w:p w:rsidR="00590463" w:rsidRPr="00453CC2" w:rsidRDefault="00590463" w:rsidP="00773164">
            <w:pPr>
              <w:rPr>
                <w:rFonts w:cs="Arial"/>
                <w:szCs w:val="20"/>
              </w:rPr>
            </w:pPr>
            <w:r w:rsidRPr="00453CC2">
              <w:rPr>
                <w:rFonts w:cs="Arial"/>
                <w:szCs w:val="20"/>
              </w:rPr>
              <w:t xml:space="preserve">Development </w:t>
            </w:r>
            <w:r>
              <w:rPr>
                <w:rFonts w:cs="Arial"/>
                <w:szCs w:val="20"/>
              </w:rPr>
              <w:t>the precinct</w:t>
            </w:r>
            <w:r w:rsidRPr="00453CC2">
              <w:rPr>
                <w:rFonts w:cs="Arial"/>
                <w:szCs w:val="20"/>
              </w:rPr>
              <w:t xml:space="preserve"> ensures:</w:t>
            </w:r>
          </w:p>
          <w:p w:rsidR="00590463" w:rsidRPr="00453CC2" w:rsidRDefault="00590463" w:rsidP="00837C56">
            <w:pPr>
              <w:ind w:left="426" w:hanging="426"/>
              <w:rPr>
                <w:rFonts w:cs="Arial"/>
                <w:szCs w:val="20"/>
              </w:rPr>
            </w:pPr>
            <w:r w:rsidRPr="00453CC2">
              <w:rPr>
                <w:rFonts w:cs="Arial"/>
                <w:szCs w:val="20"/>
              </w:rPr>
              <w:t>(a)</w:t>
            </w:r>
            <w:r w:rsidRPr="00453CC2">
              <w:rPr>
                <w:rFonts w:cs="Arial"/>
                <w:szCs w:val="20"/>
              </w:rPr>
              <w:tab/>
            </w:r>
            <w:r>
              <w:rPr>
                <w:rFonts w:cs="Arial"/>
                <w:szCs w:val="20"/>
              </w:rPr>
              <w:t xml:space="preserve">it meets the </w:t>
            </w:r>
            <w:r w:rsidRPr="00453CC2">
              <w:rPr>
                <w:rFonts w:cs="Arial"/>
                <w:szCs w:val="20"/>
              </w:rPr>
              <w:t>employment needs of the Cairns Northern Beaches is facilitated;</w:t>
            </w:r>
          </w:p>
          <w:p w:rsidR="00590463" w:rsidRPr="00453CC2" w:rsidRDefault="00590463" w:rsidP="00837C56">
            <w:pPr>
              <w:ind w:left="426" w:hanging="426"/>
              <w:rPr>
                <w:rFonts w:cs="Arial"/>
                <w:szCs w:val="20"/>
              </w:rPr>
            </w:pPr>
            <w:r w:rsidRPr="00453CC2">
              <w:rPr>
                <w:rFonts w:cs="Arial"/>
                <w:szCs w:val="20"/>
              </w:rPr>
              <w:t>(b)</w:t>
            </w:r>
            <w:r w:rsidRPr="00453CC2">
              <w:rPr>
                <w:rFonts w:cs="Arial"/>
                <w:szCs w:val="20"/>
              </w:rPr>
              <w:tab/>
              <w:t xml:space="preserve">buildings are not </w:t>
            </w:r>
            <w:r>
              <w:rPr>
                <w:rFonts w:cs="Arial"/>
                <w:szCs w:val="20"/>
              </w:rPr>
              <w:t>more</w:t>
            </w:r>
            <w:r w:rsidRPr="00453CC2">
              <w:rPr>
                <w:rFonts w:cs="Arial"/>
                <w:szCs w:val="20"/>
              </w:rPr>
              <w:t xml:space="preserve"> than four storeys in height;</w:t>
            </w:r>
          </w:p>
          <w:p w:rsidR="00590463" w:rsidRPr="00453CC2" w:rsidRDefault="00590463" w:rsidP="00837C56">
            <w:pPr>
              <w:ind w:left="426" w:hanging="426"/>
              <w:rPr>
                <w:rFonts w:eastAsiaTheme="minorEastAsia" w:cs="Arial"/>
                <w:szCs w:val="20"/>
                <w:lang w:eastAsia="en-AU"/>
              </w:rPr>
            </w:pPr>
            <w:r w:rsidRPr="00453CC2">
              <w:rPr>
                <w:rFonts w:cs="Arial"/>
                <w:szCs w:val="20"/>
              </w:rPr>
              <w:t>(</w:t>
            </w:r>
            <w:r>
              <w:rPr>
                <w:rFonts w:cs="Arial"/>
                <w:szCs w:val="20"/>
              </w:rPr>
              <w:t>c</w:t>
            </w:r>
            <w:r w:rsidRPr="00453CC2">
              <w:rPr>
                <w:rFonts w:cs="Arial"/>
                <w:szCs w:val="20"/>
              </w:rPr>
              <w:t>)</w:t>
            </w:r>
            <w:r w:rsidRPr="00453CC2">
              <w:rPr>
                <w:rFonts w:cs="Arial"/>
                <w:szCs w:val="20"/>
              </w:rPr>
              <w:tab/>
              <w:t>active frontages and design for pedestrian and vehicle environments at the outer edges of buildings;</w:t>
            </w:r>
          </w:p>
          <w:p w:rsidR="00590463" w:rsidRPr="00453CC2" w:rsidRDefault="00590463" w:rsidP="00837C56">
            <w:pPr>
              <w:ind w:left="426" w:hanging="426"/>
              <w:rPr>
                <w:rFonts w:cs="Arial"/>
                <w:szCs w:val="20"/>
              </w:rPr>
            </w:pPr>
            <w:r w:rsidRPr="00453CC2">
              <w:rPr>
                <w:rFonts w:cs="Arial"/>
                <w:szCs w:val="20"/>
              </w:rPr>
              <w:t>(</w:t>
            </w:r>
            <w:r>
              <w:rPr>
                <w:rFonts w:cs="Arial"/>
                <w:szCs w:val="20"/>
              </w:rPr>
              <w:t>d</w:t>
            </w:r>
            <w:r w:rsidRPr="00453CC2">
              <w:rPr>
                <w:rFonts w:cs="Arial"/>
                <w:szCs w:val="20"/>
              </w:rPr>
              <w:t>)</w:t>
            </w:r>
            <w:r w:rsidRPr="00453CC2">
              <w:rPr>
                <w:rFonts w:cs="Arial"/>
                <w:szCs w:val="20"/>
              </w:rPr>
              <w:tab/>
              <w:t>efficient use of space to reduce expansive car parking areas;</w:t>
            </w:r>
          </w:p>
          <w:p w:rsidR="00590463" w:rsidRPr="00453CC2" w:rsidRDefault="00590463" w:rsidP="00837C56">
            <w:pPr>
              <w:ind w:left="426" w:hanging="426"/>
              <w:rPr>
                <w:rFonts w:cs="Arial"/>
                <w:szCs w:val="20"/>
              </w:rPr>
            </w:pPr>
            <w:r w:rsidRPr="00453CC2">
              <w:rPr>
                <w:rFonts w:cs="Arial"/>
                <w:szCs w:val="20"/>
              </w:rPr>
              <w:t>(</w:t>
            </w:r>
            <w:r>
              <w:rPr>
                <w:rFonts w:cs="Arial"/>
                <w:szCs w:val="20"/>
              </w:rPr>
              <w:t>e</w:t>
            </w:r>
            <w:r w:rsidRPr="00453CC2">
              <w:rPr>
                <w:rFonts w:cs="Arial"/>
                <w:szCs w:val="20"/>
              </w:rPr>
              <w:t>)</w:t>
            </w:r>
            <w:r w:rsidRPr="00453CC2">
              <w:rPr>
                <w:rFonts w:cs="Arial"/>
                <w:szCs w:val="20"/>
              </w:rPr>
              <w:tab/>
              <w:t>built form and entry points addresses and enhances connections to existing communities.</w:t>
            </w:r>
          </w:p>
        </w:tc>
        <w:tc>
          <w:tcPr>
            <w:tcW w:w="1720" w:type="pct"/>
          </w:tcPr>
          <w:p w:rsidR="00590463" w:rsidRPr="00180F11" w:rsidRDefault="00590463" w:rsidP="00773164">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AO11.1</w:t>
            </w:r>
          </w:p>
          <w:p w:rsidR="00590463" w:rsidRDefault="00590463"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590463" w:rsidRPr="00453CC2" w:rsidRDefault="00590463" w:rsidP="00773164">
            <w:pPr>
              <w:cnfStyle w:val="000000000000" w:firstRow="0" w:lastRow="0" w:firstColumn="0" w:lastColumn="0" w:oddVBand="0" w:evenVBand="0" w:oddHBand="0"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590463" w:rsidRDefault="00590463" w:rsidP="00773164">
            <w:pPr>
              <w:rPr>
                <w:rFonts w:cs="Arial"/>
                <w:b/>
                <w:szCs w:val="20"/>
              </w:rPr>
            </w:pPr>
          </w:p>
        </w:tc>
      </w:tr>
      <w:tr w:rsidR="00590463" w:rsidRPr="00621988" w:rsidTr="00590463">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69428D">
            <w:pPr>
              <w:keepNext/>
              <w:rPr>
                <w:b/>
              </w:rPr>
            </w:pPr>
            <w:r>
              <w:rPr>
                <w:b/>
              </w:rPr>
              <w:lastRenderedPageBreak/>
              <w:t>Additional requirements for Sub-precinct 3a – Future mixed use area</w:t>
            </w: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Default="00590463" w:rsidP="0069428D">
            <w:pPr>
              <w:keepNext/>
              <w:rPr>
                <w:rFonts w:eastAsiaTheme="minorEastAsia" w:cs="Arial"/>
                <w:b/>
                <w:szCs w:val="20"/>
                <w:lang w:eastAsia="en-AU"/>
              </w:rPr>
            </w:pPr>
            <w:r>
              <w:rPr>
                <w:rFonts w:cs="Arial"/>
                <w:b/>
                <w:szCs w:val="20"/>
              </w:rPr>
              <w:t>PO12</w:t>
            </w:r>
          </w:p>
          <w:p w:rsidR="00590463" w:rsidRPr="00563AF6" w:rsidRDefault="00590463" w:rsidP="0069428D">
            <w:pPr>
              <w:keepNext/>
              <w:rPr>
                <w:rFonts w:eastAsiaTheme="minorEastAsia" w:cs="Arial"/>
                <w:szCs w:val="20"/>
                <w:lang w:eastAsia="en-AU"/>
              </w:rPr>
            </w:pPr>
            <w:r w:rsidRPr="00563AF6">
              <w:rPr>
                <w:rFonts w:cs="Arial"/>
                <w:szCs w:val="20"/>
              </w:rPr>
              <w:t>Development in Sub-precinct 3a – Future mixed use area:</w:t>
            </w:r>
          </w:p>
          <w:p w:rsidR="00590463" w:rsidRPr="00563AF6" w:rsidRDefault="00590463" w:rsidP="00837C56">
            <w:pPr>
              <w:keepNext/>
              <w:spacing w:line="276" w:lineRule="auto"/>
              <w:ind w:left="426" w:hanging="426"/>
              <w:rPr>
                <w:rFonts w:eastAsiaTheme="minorEastAsia" w:cs="Arial"/>
                <w:szCs w:val="20"/>
                <w:lang w:eastAsia="en-AU"/>
              </w:rPr>
            </w:pPr>
            <w:r>
              <w:rPr>
                <w:rFonts w:cs="Arial"/>
                <w:szCs w:val="20"/>
              </w:rPr>
              <w:t>(a</w:t>
            </w:r>
            <w:r w:rsidRPr="00563AF6">
              <w:rPr>
                <w:rFonts w:cs="Arial"/>
                <w:szCs w:val="20"/>
              </w:rPr>
              <w:t>)</w:t>
            </w:r>
            <w:r w:rsidRPr="00563AF6">
              <w:rPr>
                <w:rFonts w:cs="Arial"/>
                <w:szCs w:val="20"/>
              </w:rPr>
              <w:tab/>
              <w:t>establishes a structure plan allowing for a mix of uses, focussed on a range of low-scale industry and commercial activities and a range of residential housing opportunities;</w:t>
            </w:r>
          </w:p>
          <w:p w:rsidR="00590463" w:rsidRPr="00563AF6" w:rsidRDefault="00590463" w:rsidP="00837C56">
            <w:pPr>
              <w:keepNext/>
              <w:ind w:left="426" w:hanging="426"/>
              <w:rPr>
                <w:rFonts w:eastAsiaTheme="minorEastAsia" w:cs="Arial"/>
                <w:szCs w:val="20"/>
                <w:lang w:eastAsia="en-AU"/>
              </w:rPr>
            </w:pPr>
            <w:r>
              <w:rPr>
                <w:rFonts w:cs="Arial"/>
                <w:szCs w:val="20"/>
              </w:rPr>
              <w:t>(b</w:t>
            </w:r>
            <w:r w:rsidRPr="00563AF6">
              <w:rPr>
                <w:rFonts w:cs="Arial"/>
                <w:szCs w:val="20"/>
              </w:rPr>
              <w:t>)</w:t>
            </w:r>
            <w:r w:rsidRPr="00563AF6">
              <w:rPr>
                <w:rFonts w:cs="Arial"/>
                <w:szCs w:val="20"/>
              </w:rPr>
              <w:tab/>
              <w:t>ensures the transition of impacts and uses from the adjacent employment areas to the residential land to the east, considering the impact of infrastructure to be established in the area in line with growth demands.</w:t>
            </w:r>
          </w:p>
        </w:tc>
        <w:tc>
          <w:tcPr>
            <w:tcW w:w="1720" w:type="pct"/>
          </w:tcPr>
          <w:p w:rsidR="00590463" w:rsidRPr="00180F11" w:rsidRDefault="00590463"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AO12.1</w:t>
            </w:r>
          </w:p>
          <w:p w:rsidR="00590463" w:rsidRPr="004C5909" w:rsidRDefault="00590463" w:rsidP="0069428D">
            <w:pPr>
              <w:keepNext/>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4C5909">
              <w:rPr>
                <w:rFonts w:ascii="Arial" w:eastAsia="Times New Roman" w:hAnsi="Arial" w:cs="Arial"/>
                <w:szCs w:val="20"/>
              </w:rPr>
              <w:t>A structure plan supports development proposing reconfiguration of land or material change of use</w:t>
            </w:r>
            <w:r>
              <w:rPr>
                <w:rFonts w:ascii="Arial" w:eastAsia="Times New Roman" w:hAnsi="Arial" w:cs="Arial"/>
                <w:szCs w:val="20"/>
              </w:rPr>
              <w:t>.</w:t>
            </w:r>
          </w:p>
          <w:p w:rsidR="00590463" w:rsidRPr="004C5909" w:rsidRDefault="00590463" w:rsidP="0069428D">
            <w:pPr>
              <w:keepNext/>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rsidR="00590463" w:rsidRDefault="00590463"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ascii="Arial" w:eastAsia="Times New Roman" w:hAnsi="Arial" w:cs="Arial"/>
                <w:sz w:val="16"/>
                <w:szCs w:val="16"/>
              </w:rPr>
              <w:t xml:space="preserve">Note - </w:t>
            </w:r>
            <w:r w:rsidRPr="006E57A2">
              <w:rPr>
                <w:rFonts w:ascii="Arial" w:eastAsia="Times New Roman" w:hAnsi="Arial" w:cs="Arial"/>
                <w:sz w:val="16"/>
                <w:szCs w:val="16"/>
              </w:rPr>
              <w:t xml:space="preserve">Guidance on preparing a structure plan is provided within Planning scheme policy – </w:t>
            </w:r>
            <w:r>
              <w:rPr>
                <w:rFonts w:ascii="Arial" w:eastAsia="Times New Roman" w:hAnsi="Arial" w:cs="Arial"/>
                <w:sz w:val="16"/>
                <w:szCs w:val="16"/>
              </w:rPr>
              <w:t>S</w:t>
            </w:r>
            <w:r w:rsidRPr="006E57A2">
              <w:rPr>
                <w:rFonts w:ascii="Arial" w:eastAsia="Times New Roman" w:hAnsi="Arial" w:cs="Arial"/>
                <w:sz w:val="16"/>
                <w:szCs w:val="16"/>
              </w:rPr>
              <w:t>tructure planning.</w:t>
            </w:r>
          </w:p>
        </w:tc>
        <w:tc>
          <w:tcPr>
            <w:cnfStyle w:val="000010000000" w:firstRow="0" w:lastRow="0" w:firstColumn="0" w:lastColumn="0" w:oddVBand="1" w:evenVBand="0" w:oddHBand="0" w:evenHBand="0" w:firstRowFirstColumn="0" w:firstRowLastColumn="0" w:lastRowFirstColumn="0" w:lastRowLastColumn="0"/>
            <w:tcW w:w="1719" w:type="pct"/>
          </w:tcPr>
          <w:p w:rsidR="00590463" w:rsidRDefault="00590463" w:rsidP="0069428D">
            <w:pPr>
              <w:keepNext/>
              <w:rPr>
                <w:rFonts w:cs="Arial"/>
                <w:b/>
                <w:szCs w:val="20"/>
              </w:rPr>
            </w:pPr>
          </w:p>
        </w:tc>
      </w:tr>
      <w:tr w:rsidR="00590463" w:rsidRPr="00621988" w:rsidTr="00590463">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Pr="00202833" w:rsidRDefault="00590463" w:rsidP="00B81A0D">
            <w:pPr>
              <w:keepNext/>
              <w:rPr>
                <w:b/>
              </w:rPr>
            </w:pPr>
            <w:r w:rsidRPr="00202833">
              <w:rPr>
                <w:b/>
              </w:rPr>
              <w:t>Additional requirements for Sub-precinct 3b – Future retail and commercial area</w:t>
            </w:r>
          </w:p>
        </w:tc>
      </w:tr>
      <w:tr w:rsidR="00590463"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Pr="00202833" w:rsidRDefault="00590463" w:rsidP="00F472E8">
            <w:pPr>
              <w:keepNext/>
              <w:rPr>
                <w:rFonts w:eastAsiaTheme="minorEastAsia" w:cs="Arial"/>
                <w:b/>
                <w:szCs w:val="20"/>
                <w:lang w:eastAsia="en-AU"/>
              </w:rPr>
            </w:pPr>
            <w:r w:rsidRPr="00202833">
              <w:rPr>
                <w:rFonts w:cs="Arial"/>
                <w:b/>
                <w:szCs w:val="20"/>
              </w:rPr>
              <w:t>PO1</w:t>
            </w:r>
            <w:r>
              <w:rPr>
                <w:rFonts w:cs="Arial"/>
                <w:b/>
                <w:szCs w:val="20"/>
              </w:rPr>
              <w:t>3</w:t>
            </w:r>
          </w:p>
          <w:p w:rsidR="00590463" w:rsidRPr="00202833" w:rsidRDefault="00590463" w:rsidP="00F472E8">
            <w:pPr>
              <w:keepNext/>
              <w:rPr>
                <w:rFonts w:eastAsiaTheme="minorEastAsia" w:cs="Arial"/>
                <w:szCs w:val="20"/>
                <w:lang w:eastAsia="en-AU"/>
              </w:rPr>
            </w:pPr>
            <w:r w:rsidRPr="00202833">
              <w:rPr>
                <w:rFonts w:cs="Arial"/>
                <w:szCs w:val="20"/>
              </w:rPr>
              <w:t>Development in Sub-precinct 3b – Future retail and commercial area:</w:t>
            </w:r>
          </w:p>
          <w:p w:rsidR="00590463" w:rsidRPr="00202833" w:rsidRDefault="00590463" w:rsidP="00837C56">
            <w:pPr>
              <w:keepNext/>
              <w:spacing w:line="276" w:lineRule="auto"/>
              <w:ind w:left="426" w:hanging="426"/>
              <w:rPr>
                <w:rFonts w:eastAsiaTheme="minorEastAsia" w:cs="Arial"/>
                <w:szCs w:val="20"/>
                <w:lang w:eastAsia="en-AU"/>
              </w:rPr>
            </w:pPr>
            <w:r w:rsidRPr="00202833">
              <w:rPr>
                <w:rFonts w:cs="Arial"/>
                <w:szCs w:val="20"/>
              </w:rPr>
              <w:t>(a)</w:t>
            </w:r>
            <w:r w:rsidRPr="00202833">
              <w:rPr>
                <w:rFonts w:cs="Arial"/>
                <w:szCs w:val="20"/>
              </w:rPr>
              <w:tab/>
              <w:t>establishes a structure plan allowing for a mix of uses, focussed on shopping, showrooms, low-scale industry and commercial activities;</w:t>
            </w:r>
          </w:p>
          <w:p w:rsidR="00590463" w:rsidRPr="00202833" w:rsidRDefault="00590463" w:rsidP="00837C56">
            <w:pPr>
              <w:keepNext/>
              <w:ind w:left="426" w:hanging="426"/>
              <w:rPr>
                <w:rFonts w:eastAsiaTheme="minorEastAsia" w:cs="Arial"/>
                <w:szCs w:val="20"/>
                <w:lang w:eastAsia="en-AU"/>
              </w:rPr>
            </w:pPr>
            <w:r w:rsidRPr="00202833">
              <w:rPr>
                <w:rFonts w:cs="Arial"/>
                <w:szCs w:val="20"/>
              </w:rPr>
              <w:t>(b)</w:t>
            </w:r>
            <w:r w:rsidRPr="00202833">
              <w:rPr>
                <w:rFonts w:cs="Arial"/>
                <w:szCs w:val="20"/>
              </w:rPr>
              <w:tab/>
              <w:t>ensures the transition of impacts and uses from the adjacent employment areas to the residential land to the east, considering the impact of infrastructure to be established in the area in line with growth demands.</w:t>
            </w:r>
          </w:p>
        </w:tc>
        <w:tc>
          <w:tcPr>
            <w:tcW w:w="1720" w:type="pct"/>
          </w:tcPr>
          <w:p w:rsidR="00590463" w:rsidRPr="00202833" w:rsidRDefault="00590463" w:rsidP="00F472E8">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202833">
              <w:rPr>
                <w:rFonts w:cs="Arial"/>
                <w:b/>
                <w:szCs w:val="20"/>
              </w:rPr>
              <w:t>AO</w:t>
            </w:r>
            <w:r>
              <w:rPr>
                <w:rFonts w:cs="Arial"/>
                <w:b/>
                <w:szCs w:val="20"/>
              </w:rPr>
              <w:t>13</w:t>
            </w:r>
            <w:r w:rsidRPr="00202833">
              <w:rPr>
                <w:rFonts w:cs="Arial"/>
                <w:b/>
                <w:szCs w:val="20"/>
              </w:rPr>
              <w:t>.1</w:t>
            </w:r>
          </w:p>
          <w:p w:rsidR="00590463" w:rsidRPr="00202833" w:rsidRDefault="00590463" w:rsidP="00F472E8">
            <w:pPr>
              <w:keepNext/>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202833">
              <w:rPr>
                <w:rFonts w:ascii="Arial" w:eastAsia="Times New Roman" w:hAnsi="Arial" w:cs="Arial"/>
                <w:szCs w:val="20"/>
              </w:rPr>
              <w:t>A structure plan supports development proposing reconfiguration of land or material change of use.</w:t>
            </w:r>
          </w:p>
          <w:p w:rsidR="00590463" w:rsidRPr="00202833" w:rsidRDefault="00590463" w:rsidP="00F472E8">
            <w:pPr>
              <w:keepNext/>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rsidR="00590463" w:rsidRPr="00202833" w:rsidRDefault="00590463" w:rsidP="00F472E8">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202833">
              <w:rPr>
                <w:rFonts w:ascii="Arial" w:eastAsia="Times New Roman" w:hAnsi="Arial" w:cs="Arial"/>
                <w:sz w:val="16"/>
                <w:szCs w:val="16"/>
              </w:rPr>
              <w:t>Note - Guidance on preparing a structure plan is provided within Planning scheme policy – Structure planning.</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202833" w:rsidRDefault="00590463" w:rsidP="00F472E8">
            <w:pPr>
              <w:keepNext/>
              <w:rPr>
                <w:rFonts w:cs="Arial"/>
                <w:b/>
                <w:szCs w:val="20"/>
              </w:rPr>
            </w:pPr>
          </w:p>
        </w:tc>
      </w:tr>
      <w:tr w:rsidR="00590463" w:rsidRPr="00621988" w:rsidTr="005904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90463" w:rsidRDefault="00590463" w:rsidP="00563AF6">
            <w:pPr>
              <w:keepNext/>
              <w:rPr>
                <w:b/>
              </w:rPr>
            </w:pPr>
            <w:r>
              <w:rPr>
                <w:b/>
              </w:rPr>
              <w:t>Additional requirements for Precinct 4 – Residential communities</w:t>
            </w:r>
          </w:p>
        </w:tc>
      </w:tr>
      <w:tr w:rsidR="00590463" w:rsidRPr="007649B2" w:rsidTr="00590463">
        <w:tc>
          <w:tcPr>
            <w:cnfStyle w:val="000010000000" w:firstRow="0" w:lastRow="0" w:firstColumn="0" w:lastColumn="0" w:oddVBand="1" w:evenVBand="0" w:oddHBand="0" w:evenHBand="0" w:firstRowFirstColumn="0" w:firstRowLastColumn="0" w:lastRowFirstColumn="0" w:lastRowLastColumn="0"/>
            <w:tcW w:w="1561" w:type="pct"/>
          </w:tcPr>
          <w:p w:rsidR="00590463" w:rsidRPr="00453CC2" w:rsidRDefault="00590463" w:rsidP="00563AF6">
            <w:pPr>
              <w:keepNext/>
              <w:rPr>
                <w:rFonts w:eastAsiaTheme="minorEastAsia" w:cs="Arial"/>
                <w:b/>
                <w:szCs w:val="20"/>
                <w:lang w:eastAsia="en-AU"/>
              </w:rPr>
            </w:pPr>
            <w:r w:rsidRPr="00453CC2">
              <w:rPr>
                <w:rFonts w:cs="Arial"/>
                <w:b/>
                <w:szCs w:val="20"/>
              </w:rPr>
              <w:t>PO</w:t>
            </w:r>
            <w:r>
              <w:rPr>
                <w:rFonts w:cs="Arial"/>
                <w:b/>
                <w:szCs w:val="20"/>
              </w:rPr>
              <w:t>14</w:t>
            </w:r>
          </w:p>
          <w:p w:rsidR="00590463" w:rsidRPr="00453CC2" w:rsidRDefault="00590463" w:rsidP="00563AF6">
            <w:pPr>
              <w:keepNext/>
              <w:rPr>
                <w:rFonts w:eastAsiaTheme="minorEastAsia" w:cs="Arial"/>
                <w:szCs w:val="20"/>
                <w:lang w:eastAsia="en-AU"/>
              </w:rPr>
            </w:pPr>
            <w:r w:rsidRPr="00453CC2">
              <w:rPr>
                <w:rFonts w:cs="Arial"/>
                <w:szCs w:val="20"/>
              </w:rPr>
              <w:t xml:space="preserve">Development in </w:t>
            </w:r>
            <w:r>
              <w:rPr>
                <w:rFonts w:cs="Arial"/>
                <w:szCs w:val="20"/>
              </w:rPr>
              <w:t>Precinct 4 - r</w:t>
            </w:r>
            <w:r w:rsidRPr="00453CC2">
              <w:rPr>
                <w:rFonts w:cs="Arial"/>
                <w:szCs w:val="20"/>
              </w:rPr>
              <w:t xml:space="preserve">esidential </w:t>
            </w:r>
            <w:r>
              <w:rPr>
                <w:rFonts w:cs="Arial"/>
                <w:szCs w:val="20"/>
              </w:rPr>
              <w:t>communities</w:t>
            </w:r>
            <w:r w:rsidRPr="00453CC2">
              <w:rPr>
                <w:rFonts w:cs="Arial"/>
                <w:szCs w:val="20"/>
              </w:rPr>
              <w:t xml:space="preserve"> provides for higher residential densities.</w:t>
            </w:r>
          </w:p>
        </w:tc>
        <w:tc>
          <w:tcPr>
            <w:tcW w:w="1720" w:type="pct"/>
          </w:tcPr>
          <w:p w:rsidR="00590463" w:rsidRPr="00453CC2" w:rsidRDefault="00590463" w:rsidP="00563AF6">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453CC2">
              <w:rPr>
                <w:rFonts w:cs="Arial"/>
                <w:b/>
                <w:szCs w:val="20"/>
              </w:rPr>
              <w:t>AO</w:t>
            </w:r>
            <w:r>
              <w:rPr>
                <w:rFonts w:cs="Arial"/>
                <w:b/>
                <w:szCs w:val="20"/>
              </w:rPr>
              <w:t>14.1</w:t>
            </w:r>
          </w:p>
          <w:p w:rsidR="00590463" w:rsidRPr="00453CC2" w:rsidRDefault="00590463" w:rsidP="00563AF6">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453CC2">
              <w:rPr>
                <w:rFonts w:cs="Arial"/>
                <w:szCs w:val="20"/>
              </w:rPr>
              <w:t>Development for higher residential densities:</w:t>
            </w:r>
          </w:p>
          <w:p w:rsidR="00590463" w:rsidRPr="00453CC2"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453CC2">
              <w:rPr>
                <w:rFonts w:cs="Arial"/>
                <w:szCs w:val="20"/>
              </w:rPr>
              <w:t>(a)</w:t>
            </w:r>
            <w:r w:rsidRPr="00453CC2">
              <w:rPr>
                <w:rFonts w:cs="Arial"/>
                <w:szCs w:val="20"/>
              </w:rPr>
              <w:tab/>
              <w:t>consolidates parcels of land; or</w:t>
            </w:r>
          </w:p>
          <w:p w:rsidR="00590463" w:rsidRPr="00453CC2" w:rsidRDefault="00590463" w:rsidP="00837C56">
            <w:pPr>
              <w:keepNext/>
              <w:ind w:left="409" w:hanging="409"/>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453CC2">
              <w:rPr>
                <w:rFonts w:cs="Arial"/>
                <w:szCs w:val="20"/>
              </w:rPr>
              <w:t>(b)</w:t>
            </w:r>
            <w:r w:rsidRPr="00453CC2">
              <w:rPr>
                <w:rFonts w:cs="Arial"/>
                <w:szCs w:val="20"/>
              </w:rPr>
              <w:tab/>
              <w:t xml:space="preserve">establishes through infill development (e.g. secondary dwellings, dual occupancies, small-scale multiple dwellings where retaining existing </w:t>
            </w:r>
            <w:r w:rsidRPr="00453CC2">
              <w:rPr>
                <w:rFonts w:cs="Arial"/>
                <w:szCs w:val="20"/>
              </w:rPr>
              <w:lastRenderedPageBreak/>
              <w:t xml:space="preserve">buildings). </w:t>
            </w:r>
          </w:p>
        </w:tc>
        <w:tc>
          <w:tcPr>
            <w:cnfStyle w:val="000010000000" w:firstRow="0" w:lastRow="0" w:firstColumn="0" w:lastColumn="0" w:oddVBand="1" w:evenVBand="0" w:oddHBand="0" w:evenHBand="0" w:firstRowFirstColumn="0" w:firstRowLastColumn="0" w:lastRowFirstColumn="0" w:lastRowLastColumn="0"/>
            <w:tcW w:w="1719" w:type="pct"/>
          </w:tcPr>
          <w:p w:rsidR="00590463" w:rsidRPr="00453CC2" w:rsidRDefault="00590463" w:rsidP="00563AF6">
            <w:pPr>
              <w:keepNext/>
              <w:rPr>
                <w:rFonts w:cs="Arial"/>
                <w:b/>
                <w:szCs w:val="20"/>
              </w:rPr>
            </w:pPr>
          </w:p>
        </w:tc>
      </w:tr>
    </w:tbl>
    <w:p w:rsidR="00DF0AD4" w:rsidRDefault="00DF0AD4" w:rsidP="007A082B">
      <w:pPr>
        <w:spacing w:after="0"/>
        <w:rPr>
          <w:b/>
          <w:color w:val="000000" w:themeColor="text1"/>
          <w:szCs w:val="20"/>
        </w:rPr>
      </w:pPr>
    </w:p>
    <w:p w:rsidR="00471756" w:rsidRDefault="00471756" w:rsidP="007A082B">
      <w:pPr>
        <w:spacing w:after="0"/>
        <w:rPr>
          <w:b/>
          <w:color w:val="000000" w:themeColor="text1"/>
          <w:szCs w:val="20"/>
        </w:rPr>
      </w:pPr>
    </w:p>
    <w:p w:rsidR="00471756" w:rsidRDefault="00471756" w:rsidP="007A082B">
      <w:pPr>
        <w:spacing w:after="0"/>
        <w:rPr>
          <w:b/>
          <w:color w:val="000000" w:themeColor="text1"/>
          <w:szCs w:val="20"/>
        </w:rPr>
      </w:pPr>
    </w:p>
    <w:p w:rsidR="003A7662" w:rsidRPr="002C21DD" w:rsidRDefault="001D79CE" w:rsidP="003A7662">
      <w:pPr>
        <w:rPr>
          <w:rFonts w:cs="Arial"/>
          <w:sz w:val="18"/>
          <w:szCs w:val="20"/>
        </w:rPr>
      </w:pPr>
      <w:r>
        <w:rPr>
          <w:noProof/>
        </w:rPr>
        <w:drawing>
          <wp:inline distT="0" distB="0" distL="0" distR="0" wp14:anchorId="1E2B6B57" wp14:editId="02C1ADB2">
            <wp:extent cx="5141972" cy="2495550"/>
            <wp:effectExtent l="0" t="0" r="1905" b="0"/>
            <wp:docPr id="8" name="Picture 8" descr="C:\Documents and Settings\lstiles.CAIRNS\Local Settings\Temporary Internet Files\Content.Word\913 Setbacks Smithfield Residential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stiles.CAIRNS\Local Settings\Temporary Internet Files\Content.Word\913 Setbacks Smithfield Residential - issue 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380" r="13580" b="16811"/>
                    <a:stretch/>
                  </pic:blipFill>
                  <pic:spPr bwMode="auto">
                    <a:xfrm>
                      <a:off x="0" y="0"/>
                      <a:ext cx="5141972" cy="2495550"/>
                    </a:xfrm>
                    <a:prstGeom prst="rect">
                      <a:avLst/>
                    </a:prstGeom>
                    <a:noFill/>
                    <a:ln>
                      <a:noFill/>
                    </a:ln>
                    <a:extLst>
                      <a:ext uri="{53640926-AAD7-44D8-BBD7-CCE9431645EC}">
                        <a14:shadowObscured xmlns:a14="http://schemas.microsoft.com/office/drawing/2010/main"/>
                      </a:ext>
                    </a:extLst>
                  </pic:spPr>
                </pic:pic>
              </a:graphicData>
            </a:graphic>
          </wp:inline>
        </w:drawing>
      </w:r>
    </w:p>
    <w:p w:rsidR="00E56AA7" w:rsidRPr="00563AF6" w:rsidRDefault="00E56AA7" w:rsidP="00E56AA7">
      <w:pPr>
        <w:spacing w:after="0"/>
        <w:rPr>
          <w:rFonts w:cs="Arial"/>
          <w:b/>
          <w:sz w:val="18"/>
          <w:szCs w:val="18"/>
        </w:rPr>
      </w:pPr>
      <w:r w:rsidRPr="00563AF6">
        <w:rPr>
          <w:rFonts w:cs="Arial"/>
          <w:b/>
          <w:sz w:val="18"/>
          <w:szCs w:val="18"/>
        </w:rPr>
        <w:t xml:space="preserve">Figure </w:t>
      </w:r>
      <w:r w:rsidRPr="00563AF6">
        <w:rPr>
          <w:rFonts w:cs="Arial"/>
          <w:b/>
          <w:sz w:val="18"/>
          <w:szCs w:val="18"/>
        </w:rPr>
        <w:fldChar w:fldCharType="begin"/>
      </w:r>
      <w:r w:rsidRPr="00563AF6">
        <w:rPr>
          <w:rFonts w:cs="Arial"/>
          <w:b/>
          <w:sz w:val="18"/>
          <w:szCs w:val="18"/>
        </w:rPr>
        <w:instrText xml:space="preserve"> REF _Ref364953173 \r \h </w:instrText>
      </w:r>
      <w:r w:rsidR="0091004C">
        <w:rPr>
          <w:rFonts w:cs="Arial"/>
          <w:b/>
          <w:sz w:val="18"/>
          <w:szCs w:val="18"/>
        </w:rPr>
        <w:instrText xml:space="preserve"> \* MERGEFORMAT </w:instrText>
      </w:r>
      <w:r w:rsidRPr="00563AF6">
        <w:rPr>
          <w:rFonts w:cs="Arial"/>
          <w:b/>
          <w:sz w:val="18"/>
          <w:szCs w:val="18"/>
        </w:rPr>
      </w:r>
      <w:r w:rsidRPr="00563AF6">
        <w:rPr>
          <w:rFonts w:cs="Arial"/>
          <w:b/>
          <w:sz w:val="18"/>
          <w:szCs w:val="18"/>
        </w:rPr>
        <w:fldChar w:fldCharType="separate"/>
      </w:r>
      <w:r w:rsidR="00BD320D">
        <w:rPr>
          <w:rFonts w:cs="Arial"/>
          <w:b/>
          <w:sz w:val="18"/>
          <w:szCs w:val="18"/>
        </w:rPr>
        <w:t>7.2.8.4</w:t>
      </w:r>
      <w:r w:rsidRPr="00563AF6">
        <w:rPr>
          <w:rFonts w:cs="Arial"/>
          <w:b/>
          <w:sz w:val="18"/>
          <w:szCs w:val="18"/>
        </w:rPr>
        <w:fldChar w:fldCharType="end"/>
      </w:r>
      <w:r w:rsidRPr="00563AF6">
        <w:rPr>
          <w:rFonts w:cs="Arial"/>
          <w:b/>
          <w:sz w:val="18"/>
          <w:szCs w:val="18"/>
        </w:rPr>
        <w:t>.a – Setbacks for buildings greater than four storeys adjacent to a residential zone</w:t>
      </w:r>
    </w:p>
    <w:p w:rsidR="00E56AA7" w:rsidRPr="00C76D96" w:rsidRDefault="00E56AA7" w:rsidP="00E56AA7">
      <w:pPr>
        <w:spacing w:after="0"/>
        <w:rPr>
          <w:rFonts w:cs="Arial"/>
          <w:b/>
          <w:szCs w:val="20"/>
        </w:rPr>
      </w:pPr>
    </w:p>
    <w:p w:rsidR="00590463" w:rsidRDefault="001D79CE" w:rsidP="00E56AA7">
      <w:pPr>
        <w:rPr>
          <w:rFonts w:cs="Arial"/>
          <w:b/>
          <w:szCs w:val="20"/>
        </w:rPr>
      </w:pPr>
      <w:r>
        <w:rPr>
          <w:noProof/>
        </w:rPr>
        <w:lastRenderedPageBreak/>
        <w:drawing>
          <wp:inline distT="0" distB="0" distL="0" distR="0" wp14:anchorId="5B3124E8" wp14:editId="0761CEAD">
            <wp:extent cx="5248275" cy="2514226"/>
            <wp:effectExtent l="0" t="0" r="0" b="635"/>
            <wp:docPr id="9" name="Picture 9" descr="C:\Documents and Settings\lstiles.CAIRNS\Local Settings\Temporary Internet Files\Content.Word\913 Setbacks Smithfield Non-Residential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lstiles.CAIRNS\Local Settings\Temporary Internet Files\Content.Word\913 Setbacks Smithfield Non-Residential - issue 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582" t="18444" r="22046" b="9748"/>
                    <a:stretch/>
                  </pic:blipFill>
                  <pic:spPr bwMode="auto">
                    <a:xfrm>
                      <a:off x="0" y="0"/>
                      <a:ext cx="5248275" cy="2514226"/>
                    </a:xfrm>
                    <a:prstGeom prst="rect">
                      <a:avLst/>
                    </a:prstGeom>
                    <a:noFill/>
                    <a:ln>
                      <a:noFill/>
                    </a:ln>
                    <a:extLst>
                      <a:ext uri="{53640926-AAD7-44D8-BBD7-CCE9431645EC}">
                        <a14:shadowObscured xmlns:a14="http://schemas.microsoft.com/office/drawing/2010/main"/>
                      </a:ext>
                    </a:extLst>
                  </pic:spPr>
                </pic:pic>
              </a:graphicData>
            </a:graphic>
          </wp:inline>
        </w:drawing>
      </w:r>
      <w:r w:rsidR="00E56AA7" w:rsidRPr="00E56AA7">
        <w:rPr>
          <w:rFonts w:cs="Arial"/>
          <w:b/>
          <w:szCs w:val="20"/>
        </w:rPr>
        <w:t xml:space="preserve"> </w:t>
      </w:r>
    </w:p>
    <w:p w:rsidR="00E56AA7" w:rsidRPr="00C76D96" w:rsidRDefault="00E56AA7" w:rsidP="00E56AA7">
      <w:pPr>
        <w:rPr>
          <w:rFonts w:cs="Arial"/>
          <w:b/>
          <w:szCs w:val="20"/>
        </w:rPr>
      </w:pPr>
      <w:r w:rsidRPr="00563AF6">
        <w:rPr>
          <w:rFonts w:cs="Arial"/>
          <w:b/>
          <w:sz w:val="18"/>
          <w:szCs w:val="18"/>
        </w:rPr>
        <w:t xml:space="preserve">Figure </w:t>
      </w:r>
      <w:r w:rsidRPr="00563AF6">
        <w:rPr>
          <w:rFonts w:cs="Arial"/>
          <w:b/>
          <w:sz w:val="18"/>
          <w:szCs w:val="18"/>
        </w:rPr>
        <w:fldChar w:fldCharType="begin"/>
      </w:r>
      <w:r w:rsidRPr="00563AF6">
        <w:rPr>
          <w:rFonts w:cs="Arial"/>
          <w:b/>
          <w:sz w:val="18"/>
          <w:szCs w:val="18"/>
        </w:rPr>
        <w:instrText xml:space="preserve"> REF _Ref364953173 \r \h </w:instrText>
      </w:r>
      <w:r w:rsidR="0091004C">
        <w:rPr>
          <w:rFonts w:cs="Arial"/>
          <w:b/>
          <w:sz w:val="18"/>
          <w:szCs w:val="18"/>
        </w:rPr>
        <w:instrText xml:space="preserve"> \* MERGEFORMAT </w:instrText>
      </w:r>
      <w:r w:rsidRPr="00563AF6">
        <w:rPr>
          <w:rFonts w:cs="Arial"/>
          <w:b/>
          <w:sz w:val="18"/>
          <w:szCs w:val="18"/>
        </w:rPr>
      </w:r>
      <w:r w:rsidRPr="00563AF6">
        <w:rPr>
          <w:rFonts w:cs="Arial"/>
          <w:b/>
          <w:sz w:val="18"/>
          <w:szCs w:val="18"/>
        </w:rPr>
        <w:fldChar w:fldCharType="separate"/>
      </w:r>
      <w:r w:rsidR="00BD320D">
        <w:rPr>
          <w:rFonts w:cs="Arial"/>
          <w:b/>
          <w:sz w:val="18"/>
          <w:szCs w:val="18"/>
        </w:rPr>
        <w:t>7.2.8.4</w:t>
      </w:r>
      <w:r w:rsidRPr="00563AF6">
        <w:rPr>
          <w:rFonts w:cs="Arial"/>
          <w:b/>
          <w:sz w:val="18"/>
          <w:szCs w:val="18"/>
        </w:rPr>
        <w:fldChar w:fldCharType="end"/>
      </w:r>
      <w:r w:rsidRPr="00563AF6">
        <w:rPr>
          <w:rFonts w:cs="Arial"/>
          <w:b/>
          <w:sz w:val="18"/>
          <w:szCs w:val="18"/>
        </w:rPr>
        <w:t>.b – Setbacks for buildings greater than four storeys adjacent to a non-residential zone</w:t>
      </w:r>
    </w:p>
    <w:p w:rsidR="003A7662" w:rsidRDefault="003A7662" w:rsidP="0036538A">
      <w:pPr>
        <w:rPr>
          <w:b/>
          <w:color w:val="000000" w:themeColor="text1"/>
          <w:szCs w:val="20"/>
        </w:rPr>
      </w:pPr>
    </w:p>
    <w:sectPr w:rsidR="003A7662" w:rsidSect="00E24D1B">
      <w:headerReference w:type="even" r:id="rId14"/>
      <w:headerReference w:type="default" r:id="rId15"/>
      <w:footerReference w:type="even" r:id="rId16"/>
      <w:footerReference w:type="default" r:id="rId17"/>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8" w:rsidRDefault="00A21068">
      <w:pPr>
        <w:spacing w:after="0" w:line="240" w:lineRule="auto"/>
      </w:pPr>
      <w:r>
        <w:separator/>
      </w:r>
    </w:p>
  </w:endnote>
  <w:endnote w:type="continuationSeparator" w:id="0">
    <w:p w:rsidR="00A21068" w:rsidRDefault="00A2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664345F2" wp14:editId="3DDF3B7E">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7FA1DCD" wp14:editId="115610D3">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590463" w:rsidRPr="00590463">
      <w:rPr>
        <w:color w:val="0064A7"/>
        <w:sz w:val="16"/>
        <w:szCs w:val="16"/>
      </w:rPr>
      <w:t>7.2.8</w:t>
    </w:r>
    <w:r w:rsidR="00590463" w:rsidRPr="00590463">
      <w:rPr>
        <w:color w:val="0064A7"/>
        <w:sz w:val="16"/>
        <w:szCs w:val="16"/>
      </w:rPr>
      <w:tab/>
    </w:r>
    <w:r w:rsidR="00590463">
      <w:rPr>
        <w:color w:val="0064A7"/>
        <w:sz w:val="16"/>
        <w:szCs w:val="16"/>
      </w:rPr>
      <w:t xml:space="preserve"> </w:t>
    </w:r>
    <w:r w:rsidR="00590463" w:rsidRPr="00590463">
      <w:rPr>
        <w:color w:val="0064A7"/>
        <w:sz w:val="16"/>
        <w:szCs w:val="16"/>
      </w:rPr>
      <w:t>Smithfield local plan code</w:t>
    </w:r>
    <w:r w:rsidR="00590463">
      <w:rPr>
        <w:color w:val="0064A7"/>
        <w:sz w:val="16"/>
        <w:szCs w:val="16"/>
      </w:rPr>
      <w:t xml:space="preserve">  </w:t>
    </w:r>
    <w:r>
      <w:rPr>
        <w:color w:val="0064A7"/>
        <w:sz w:val="16"/>
        <w:szCs w:val="16"/>
      </w:rPr>
      <w:t xml:space="preserve">                                                                                                                                          </w:t>
    </w:r>
    <w:r w:rsidR="00022533">
      <w:rPr>
        <w:color w:val="0064A7"/>
        <w:sz w:val="16"/>
        <w:szCs w:val="16"/>
      </w:rPr>
      <w:t xml:space="preserve">                               </w:t>
    </w:r>
    <w:r>
      <w:rPr>
        <w:color w:val="0064A7"/>
        <w:sz w:val="16"/>
        <w:szCs w:val="16"/>
      </w:rPr>
      <w:t xml:space="preserve">   </w:t>
    </w:r>
    <w:r w:rsidR="00F17A8B">
      <w:rPr>
        <w:color w:val="0064A7"/>
        <w:sz w:val="16"/>
        <w:szCs w:val="16"/>
      </w:rPr>
      <w:t xml:space="preserve">     CairnsPlan 2016 Version 2.</w:t>
    </w:r>
    <w:r w:rsidR="00B2181F">
      <w:rPr>
        <w:color w:val="0064A7"/>
        <w:sz w:val="16"/>
        <w:szCs w:val="16"/>
      </w:rPr>
      <w:t>1</w:t>
    </w:r>
  </w:p>
  <w:p w:rsidR="00062375" w:rsidRPr="00062375" w:rsidRDefault="00B2181F">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3</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12</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8" w:rsidRDefault="00A21068">
      <w:pPr>
        <w:spacing w:after="0" w:line="240" w:lineRule="auto"/>
      </w:pPr>
      <w:r>
        <w:separator/>
      </w:r>
    </w:p>
  </w:footnote>
  <w:footnote w:type="continuationSeparator" w:id="0">
    <w:p w:rsidR="00A21068" w:rsidRDefault="00A2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19E90EDB" wp14:editId="1CEBA514">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1728A89D" wp14:editId="0DD9594B">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42FAFC9C"/>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22533"/>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5DBF"/>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0463"/>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068"/>
    <w:rsid w:val="00A213EF"/>
    <w:rsid w:val="00A23C6F"/>
    <w:rsid w:val="00A40895"/>
    <w:rsid w:val="00A4140E"/>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2181F"/>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0729"/>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17A8B"/>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676A4"/>
  <w15:docId w15:val="{D8F32AEE-E1D8-4D6A-9538-FBC7C62F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CE3B6F-26EC-420E-9400-4B4624E4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12</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2016-02-26T03:14:00Z</dcterms:created>
  <dcterms:modified xsi:type="dcterms:W3CDTF">2019-10-31T23:13:00Z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